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E5" w:rsidRPr="00065797" w:rsidRDefault="003770E5" w:rsidP="003770E5">
      <w:pPr>
        <w:spacing w:after="200" w:line="276" w:lineRule="auto"/>
        <w:rPr>
          <w:rFonts w:asciiTheme="majorHAnsi" w:hAnsiTheme="majorHAnsi"/>
          <w:b/>
          <w:i/>
          <w:color w:val="800000"/>
          <w:sz w:val="72"/>
          <w:szCs w:val="72"/>
        </w:rPr>
      </w:pPr>
      <w:r>
        <w:rPr>
          <w:rFonts w:asciiTheme="majorHAnsi" w:hAnsiTheme="majorHAnsi"/>
          <w:b/>
          <w:i/>
          <w:color w:val="800000"/>
          <w:sz w:val="72"/>
          <w:szCs w:val="72"/>
        </w:rPr>
        <w:t>Calculation Example: IRR, Scale Effects, and Mutually Exclusive Projects</w:t>
      </w:r>
    </w:p>
    <w:p w:rsidR="003770E5" w:rsidRDefault="003770E5" w:rsidP="003770E5">
      <w:pPr>
        <w:spacing w:after="200" w:line="276" w:lineRule="auto"/>
        <w:rPr>
          <w:rFonts w:asciiTheme="majorHAnsi" w:hAnsiTheme="majorHAnsi"/>
          <w:color w:val="003366"/>
          <w:sz w:val="52"/>
          <w:szCs w:val="52"/>
        </w:rPr>
      </w:pPr>
      <w:r w:rsidRPr="00660BEF">
        <w:rPr>
          <w:rFonts w:asciiTheme="majorHAnsi" w:hAnsiTheme="majorHAnsi"/>
          <w:b/>
          <w:color w:val="003366"/>
          <w:sz w:val="52"/>
          <w:szCs w:val="52"/>
        </w:rPr>
        <w:t>Question</w:t>
      </w:r>
      <w:bookmarkStart w:id="0" w:name="_GoBack"/>
      <w:bookmarkEnd w:id="0"/>
      <w:r w:rsidRPr="00660BEF">
        <w:rPr>
          <w:rFonts w:asciiTheme="majorHAnsi" w:hAnsiTheme="majorHAnsi"/>
          <w:b/>
          <w:color w:val="003366"/>
          <w:sz w:val="52"/>
          <w:szCs w:val="52"/>
        </w:rPr>
        <w:t>:</w:t>
      </w:r>
      <w:r>
        <w:rPr>
          <w:rFonts w:asciiTheme="majorHAnsi" w:hAnsiTheme="majorHAnsi"/>
          <w:color w:val="003366"/>
          <w:sz w:val="52"/>
          <w:szCs w:val="52"/>
        </w:rPr>
        <w:t xml:space="preserve"> A developer owns a block of land next to a highway. He can:</w:t>
      </w:r>
    </w:p>
    <w:p w:rsidR="003770E5" w:rsidRPr="00DF4359" w:rsidRDefault="00923CC8" w:rsidP="003770E5">
      <w:pPr>
        <w:pStyle w:val="ListParagraph"/>
        <w:numPr>
          <w:ilvl w:val="0"/>
          <w:numId w:val="5"/>
        </w:numPr>
        <w:spacing w:after="200" w:line="276" w:lineRule="auto"/>
        <w:rPr>
          <w:rFonts w:asciiTheme="majorHAnsi" w:hAnsiTheme="majorHAnsi"/>
          <w:color w:val="003366"/>
          <w:sz w:val="52"/>
          <w:szCs w:val="52"/>
        </w:rPr>
      </w:pPr>
      <w:r>
        <w:rPr>
          <w:rFonts w:asciiTheme="majorHAnsi" w:hAnsiTheme="majorHAnsi"/>
          <w:color w:val="003366"/>
          <w:sz w:val="52"/>
          <w:szCs w:val="52"/>
        </w:rPr>
        <w:t>B</w:t>
      </w:r>
      <w:r w:rsidR="003770E5" w:rsidRPr="00DF4359">
        <w:rPr>
          <w:rFonts w:asciiTheme="majorHAnsi" w:hAnsiTheme="majorHAnsi"/>
          <w:color w:val="003366"/>
          <w:sz w:val="52"/>
          <w:szCs w:val="52"/>
        </w:rPr>
        <w:t xml:space="preserve">uild a restaurant at </w:t>
      </w:r>
      <w:r w:rsidR="00543195">
        <w:rPr>
          <w:rFonts w:asciiTheme="majorHAnsi" w:hAnsiTheme="majorHAnsi"/>
          <w:color w:val="003366"/>
          <w:sz w:val="52"/>
          <w:szCs w:val="52"/>
        </w:rPr>
        <w:t xml:space="preserve">a </w:t>
      </w:r>
      <w:r w:rsidR="003770E5" w:rsidRPr="00DF4359">
        <w:rPr>
          <w:rFonts w:asciiTheme="majorHAnsi" w:hAnsiTheme="majorHAnsi"/>
          <w:color w:val="003366"/>
          <w:sz w:val="52"/>
          <w:szCs w:val="52"/>
        </w:rPr>
        <w:t xml:space="preserve">cost of $1m </w:t>
      </w:r>
      <w:r w:rsidR="003770E5">
        <w:rPr>
          <w:rFonts w:asciiTheme="majorHAnsi" w:hAnsiTheme="majorHAnsi"/>
          <w:color w:val="003366"/>
          <w:sz w:val="52"/>
          <w:szCs w:val="52"/>
        </w:rPr>
        <w:t xml:space="preserve">now </w:t>
      </w:r>
      <w:r w:rsidR="003770E5" w:rsidRPr="00DF4359">
        <w:rPr>
          <w:rFonts w:asciiTheme="majorHAnsi" w:hAnsiTheme="majorHAnsi"/>
          <w:color w:val="003366"/>
          <w:sz w:val="52"/>
          <w:szCs w:val="52"/>
        </w:rPr>
        <w:t>which will earn $0.2m paid a</w:t>
      </w:r>
      <w:r w:rsidR="00844EB1">
        <w:rPr>
          <w:rFonts w:asciiTheme="majorHAnsi" w:hAnsiTheme="majorHAnsi"/>
          <w:color w:val="003366"/>
          <w:sz w:val="52"/>
          <w:szCs w:val="52"/>
        </w:rPr>
        <w:t>t the end of every year forever;</w:t>
      </w:r>
      <w:r w:rsidR="003770E5" w:rsidRPr="00DF4359">
        <w:rPr>
          <w:rFonts w:asciiTheme="majorHAnsi" w:hAnsiTheme="majorHAnsi"/>
          <w:color w:val="003366"/>
          <w:sz w:val="52"/>
          <w:szCs w:val="52"/>
        </w:rPr>
        <w:t xml:space="preserve"> Or, he can</w:t>
      </w:r>
    </w:p>
    <w:p w:rsidR="003770E5" w:rsidRPr="00DF4359" w:rsidRDefault="00923CC8" w:rsidP="003770E5">
      <w:pPr>
        <w:pStyle w:val="ListParagraph"/>
        <w:numPr>
          <w:ilvl w:val="0"/>
          <w:numId w:val="5"/>
        </w:numPr>
        <w:spacing w:after="200" w:line="276" w:lineRule="auto"/>
        <w:rPr>
          <w:rFonts w:asciiTheme="majorHAnsi" w:hAnsiTheme="majorHAnsi"/>
          <w:color w:val="003366"/>
          <w:sz w:val="52"/>
          <w:szCs w:val="52"/>
        </w:rPr>
      </w:pPr>
      <w:r>
        <w:rPr>
          <w:rFonts w:asciiTheme="majorHAnsi" w:hAnsiTheme="majorHAnsi"/>
          <w:color w:val="003366"/>
          <w:sz w:val="52"/>
          <w:szCs w:val="52"/>
        </w:rPr>
        <w:t>B</w:t>
      </w:r>
      <w:r w:rsidR="003770E5" w:rsidRPr="00DF4359">
        <w:rPr>
          <w:rFonts w:asciiTheme="majorHAnsi" w:hAnsiTheme="majorHAnsi"/>
          <w:color w:val="003366"/>
          <w:sz w:val="52"/>
          <w:szCs w:val="52"/>
        </w:rPr>
        <w:t xml:space="preserve">uild an apartment block at a cost of $10m </w:t>
      </w:r>
      <w:r w:rsidR="003770E5">
        <w:rPr>
          <w:rFonts w:asciiTheme="majorHAnsi" w:hAnsiTheme="majorHAnsi"/>
          <w:color w:val="003366"/>
          <w:sz w:val="52"/>
          <w:szCs w:val="52"/>
        </w:rPr>
        <w:t xml:space="preserve">now </w:t>
      </w:r>
      <w:r w:rsidR="003770E5" w:rsidRPr="00DF4359">
        <w:rPr>
          <w:rFonts w:asciiTheme="majorHAnsi" w:hAnsiTheme="majorHAnsi"/>
          <w:color w:val="003366"/>
          <w:sz w:val="52"/>
          <w:szCs w:val="52"/>
        </w:rPr>
        <w:t>which will earn $1.5m paid at the end of every year forever.</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He cannot build both, the local government won't allow it.</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Both projects have the same level of risk and therefore the same cost of capital which is 10% pa. Which project should </w:t>
      </w:r>
      <w:r w:rsidR="00923CC8">
        <w:rPr>
          <w:rFonts w:asciiTheme="majorHAnsi" w:hAnsiTheme="majorHAnsi"/>
          <w:color w:val="003366"/>
          <w:sz w:val="52"/>
          <w:szCs w:val="52"/>
        </w:rPr>
        <w:t>the developer</w:t>
      </w:r>
      <w:r>
        <w:rPr>
          <w:rFonts w:asciiTheme="majorHAnsi" w:hAnsiTheme="majorHAnsi"/>
          <w:color w:val="003366"/>
          <w:sz w:val="52"/>
          <w:szCs w:val="52"/>
        </w:rPr>
        <w:t xml:space="preserve"> pick?</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b/>
          <w:color w:val="003366"/>
          <w:sz w:val="52"/>
          <w:szCs w:val="52"/>
        </w:rPr>
        <w:lastRenderedPageBreak/>
        <w:t>Answer using IRR</w:t>
      </w:r>
      <w:r w:rsidRPr="00660BEF">
        <w:rPr>
          <w:rFonts w:asciiTheme="majorHAnsi" w:hAnsiTheme="majorHAnsi"/>
          <w:b/>
          <w:color w:val="003366"/>
          <w:sz w:val="52"/>
          <w:szCs w:val="52"/>
        </w:rPr>
        <w:t>:</w:t>
      </w:r>
      <w:r>
        <w:rPr>
          <w:rFonts w:asciiTheme="majorHAnsi" w:hAnsiTheme="majorHAnsi"/>
          <w:color w:val="003366"/>
          <w:sz w:val="52"/>
          <w:szCs w:val="52"/>
        </w:rPr>
        <w:t xml:space="preserve"> </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To calculate the IRR of the restaurant:</w:t>
      </w:r>
    </w:p>
    <w:p w:rsidR="003770E5" w:rsidRPr="000938DA" w:rsidRDefault="008220CF" w:rsidP="003770E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1,2,3,…</m:t>
                  </m:r>
                </m:sub>
              </m:sSub>
            </m:num>
            <m:den>
              <m:r>
                <w:rPr>
                  <w:rFonts w:ascii="Cambria Math" w:hAnsi="Cambria Math"/>
                  <w:color w:val="003366"/>
                  <w:sz w:val="52"/>
                  <w:szCs w:val="52"/>
                </w:rPr>
                <m:t>r</m:t>
              </m:r>
            </m:den>
          </m:f>
        </m:oMath>
      </m:oMathPara>
    </w:p>
    <w:p w:rsidR="003770E5" w:rsidRDefault="003770E5" w:rsidP="003770E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0=-1m+</m:t>
          </m:r>
          <m:f>
            <m:fPr>
              <m:ctrlPr>
                <w:rPr>
                  <w:rFonts w:ascii="Cambria Math" w:hAnsi="Cambria Math"/>
                  <w:i/>
                  <w:color w:val="003366"/>
                  <w:sz w:val="52"/>
                  <w:szCs w:val="52"/>
                </w:rPr>
              </m:ctrlPr>
            </m:fPr>
            <m:num>
              <m:r>
                <w:rPr>
                  <w:rFonts w:ascii="Cambria Math" w:hAnsi="Cambria Math"/>
                  <w:color w:val="003366"/>
                  <w:sz w:val="52"/>
                  <w:szCs w:val="52"/>
                </w:rPr>
                <m:t>0.2m</m:t>
              </m:r>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den>
          </m:f>
        </m:oMath>
      </m:oMathPara>
    </w:p>
    <w:p w:rsidR="003770E5" w:rsidRPr="000938DA" w:rsidRDefault="008220CF" w:rsidP="003770E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0.2m</m:t>
              </m:r>
            </m:num>
            <m:den>
              <m:r>
                <w:rPr>
                  <w:rFonts w:ascii="Cambria Math" w:hAnsi="Cambria Math"/>
                  <w:color w:val="003366"/>
                  <w:sz w:val="52"/>
                  <w:szCs w:val="52"/>
                </w:rPr>
                <m:t>1m</m:t>
              </m:r>
            </m:den>
          </m:f>
          <m:r>
            <w:rPr>
              <w:rFonts w:ascii="Cambria Math" w:hAnsi="Cambria Math"/>
              <w:color w:val="003366"/>
              <w:sz w:val="52"/>
              <w:szCs w:val="52"/>
            </w:rPr>
            <m:t>=0.2=20%</m:t>
          </m:r>
        </m:oMath>
      </m:oMathPara>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To calculate the IRR of the apartments:</w:t>
      </w:r>
    </w:p>
    <w:p w:rsidR="003770E5" w:rsidRPr="000938DA" w:rsidRDefault="008220CF" w:rsidP="003770E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1,2,3,…</m:t>
                  </m:r>
                </m:sub>
              </m:sSub>
            </m:num>
            <m:den>
              <m:r>
                <w:rPr>
                  <w:rFonts w:ascii="Cambria Math" w:hAnsi="Cambria Math"/>
                  <w:color w:val="003366"/>
                  <w:sz w:val="52"/>
                  <w:szCs w:val="52"/>
                </w:rPr>
                <m:t>r</m:t>
              </m:r>
            </m:den>
          </m:f>
        </m:oMath>
      </m:oMathPara>
    </w:p>
    <w:p w:rsidR="003770E5" w:rsidRDefault="003770E5" w:rsidP="003770E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0 =-10m+</m:t>
          </m:r>
          <m:f>
            <m:fPr>
              <m:ctrlPr>
                <w:rPr>
                  <w:rFonts w:ascii="Cambria Math" w:hAnsi="Cambria Math"/>
                  <w:i/>
                  <w:color w:val="003366"/>
                  <w:sz w:val="52"/>
                  <w:szCs w:val="52"/>
                </w:rPr>
              </m:ctrlPr>
            </m:fPr>
            <m:num>
              <m:r>
                <w:rPr>
                  <w:rFonts w:ascii="Cambria Math" w:hAnsi="Cambria Math"/>
                  <w:color w:val="003366"/>
                  <w:sz w:val="52"/>
                  <w:szCs w:val="52"/>
                </w:rPr>
                <m:t>1.5m</m:t>
              </m:r>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den>
          </m:f>
        </m:oMath>
      </m:oMathPara>
    </w:p>
    <w:p w:rsidR="003770E5" w:rsidRDefault="008220CF" w:rsidP="003770E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1.5m</m:t>
              </m:r>
            </m:num>
            <m:den>
              <m:r>
                <w:rPr>
                  <w:rFonts w:ascii="Cambria Math" w:hAnsi="Cambria Math"/>
                  <w:color w:val="003366"/>
                  <w:sz w:val="52"/>
                  <w:szCs w:val="52"/>
                </w:rPr>
                <m:t>10m</m:t>
              </m:r>
            </m:den>
          </m:f>
          <m:r>
            <w:rPr>
              <w:rFonts w:ascii="Cambria Math" w:hAnsi="Cambria Math"/>
              <w:color w:val="003366"/>
              <w:sz w:val="52"/>
              <w:szCs w:val="52"/>
            </w:rPr>
            <m:t>=0.15=15%</m:t>
          </m:r>
        </m:oMath>
      </m:oMathPara>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Since the restaurant has the higher IRR, it looks like a better idea than the apartments. But this is a bad conclusion! Let's find the NPV's to see why.</w:t>
      </w:r>
    </w:p>
    <w:p w:rsidR="003770E5" w:rsidRDefault="003770E5" w:rsidP="003770E5">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3770E5" w:rsidRDefault="003770E5" w:rsidP="003770E5">
      <w:pPr>
        <w:spacing w:after="200" w:line="276" w:lineRule="auto"/>
        <w:rPr>
          <w:rFonts w:asciiTheme="majorHAnsi" w:hAnsiTheme="majorHAnsi"/>
          <w:color w:val="003366"/>
          <w:sz w:val="52"/>
          <w:szCs w:val="52"/>
        </w:rPr>
      </w:pPr>
      <w:r>
        <w:rPr>
          <w:rFonts w:asciiTheme="majorHAnsi" w:hAnsiTheme="majorHAnsi"/>
          <w:b/>
          <w:color w:val="003366"/>
          <w:sz w:val="52"/>
          <w:szCs w:val="52"/>
        </w:rPr>
        <w:lastRenderedPageBreak/>
        <w:t>Answer using NPV</w:t>
      </w:r>
      <w:r w:rsidRPr="00660BEF">
        <w:rPr>
          <w:rFonts w:asciiTheme="majorHAnsi" w:hAnsiTheme="majorHAnsi"/>
          <w:b/>
          <w:color w:val="003366"/>
          <w:sz w:val="52"/>
          <w:szCs w:val="52"/>
        </w:rPr>
        <w:t>:</w:t>
      </w:r>
      <w:r>
        <w:rPr>
          <w:rFonts w:asciiTheme="majorHAnsi" w:hAnsiTheme="majorHAnsi"/>
          <w:color w:val="003366"/>
          <w:sz w:val="52"/>
          <w:szCs w:val="52"/>
        </w:rPr>
        <w:t xml:space="preserve"> </w:t>
      </w:r>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To calculate the NPV of the restaurant:</w:t>
      </w:r>
    </w:p>
    <w:p w:rsidR="003770E5" w:rsidRPr="000938DA" w:rsidRDefault="008220CF" w:rsidP="003770E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1,2,3,…</m:t>
                  </m:r>
                </m:sub>
              </m:sSub>
            </m:num>
            <m:den>
              <m:r>
                <w:rPr>
                  <w:rFonts w:ascii="Cambria Math" w:hAnsi="Cambria Math"/>
                  <w:color w:val="003366"/>
                  <w:sz w:val="52"/>
                  <w:szCs w:val="52"/>
                </w:rPr>
                <m:t>r</m:t>
              </m:r>
            </m:den>
          </m:f>
        </m:oMath>
      </m:oMathPara>
    </w:p>
    <w:p w:rsidR="003770E5" w:rsidRDefault="003770E5" w:rsidP="003770E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=-1m+</m:t>
          </m:r>
          <m:f>
            <m:fPr>
              <m:ctrlPr>
                <w:rPr>
                  <w:rFonts w:ascii="Cambria Math" w:hAnsi="Cambria Math"/>
                  <w:i/>
                  <w:color w:val="003366"/>
                  <w:sz w:val="52"/>
                  <w:szCs w:val="52"/>
                </w:rPr>
              </m:ctrlPr>
            </m:fPr>
            <m:num>
              <m:r>
                <w:rPr>
                  <w:rFonts w:ascii="Cambria Math" w:hAnsi="Cambria Math"/>
                  <w:color w:val="003366"/>
                  <w:sz w:val="52"/>
                  <w:szCs w:val="52"/>
                </w:rPr>
                <m:t>0.2m</m:t>
              </m:r>
            </m:num>
            <m:den>
              <m:r>
                <w:rPr>
                  <w:rFonts w:ascii="Cambria Math" w:hAnsi="Cambria Math"/>
                  <w:color w:val="003366"/>
                  <w:sz w:val="52"/>
                  <w:szCs w:val="52"/>
                </w:rPr>
                <m:t>0.1</m:t>
              </m:r>
            </m:den>
          </m:f>
          <m:r>
            <w:rPr>
              <w:rFonts w:ascii="Cambria Math" w:hAnsi="Cambria Math"/>
              <w:color w:val="003366"/>
              <w:sz w:val="52"/>
              <w:szCs w:val="52"/>
            </w:rPr>
            <m:t>=1m</m:t>
          </m:r>
        </m:oMath>
      </m:oMathPara>
    </w:p>
    <w:p w:rsidR="003770E5"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To calculate the NPV of the apartments:</w:t>
      </w:r>
    </w:p>
    <w:p w:rsidR="003770E5" w:rsidRPr="000938DA" w:rsidRDefault="008220CF" w:rsidP="003770E5">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1,2,3,…</m:t>
                  </m:r>
                </m:sub>
              </m:sSub>
            </m:num>
            <m:den>
              <m:r>
                <w:rPr>
                  <w:rFonts w:ascii="Cambria Math" w:hAnsi="Cambria Math"/>
                  <w:color w:val="003366"/>
                  <w:sz w:val="52"/>
                  <w:szCs w:val="52"/>
                </w:rPr>
                <m:t>r</m:t>
              </m:r>
            </m:den>
          </m:f>
        </m:oMath>
      </m:oMathPara>
    </w:p>
    <w:p w:rsidR="003770E5" w:rsidRDefault="003770E5" w:rsidP="003770E5">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=-10m+</m:t>
          </m:r>
          <m:f>
            <m:fPr>
              <m:ctrlPr>
                <w:rPr>
                  <w:rFonts w:ascii="Cambria Math" w:hAnsi="Cambria Math"/>
                  <w:i/>
                  <w:color w:val="003366"/>
                  <w:sz w:val="52"/>
                  <w:szCs w:val="52"/>
                </w:rPr>
              </m:ctrlPr>
            </m:fPr>
            <m:num>
              <m:r>
                <w:rPr>
                  <w:rFonts w:ascii="Cambria Math" w:hAnsi="Cambria Math"/>
                  <w:color w:val="003366"/>
                  <w:sz w:val="52"/>
                  <w:szCs w:val="52"/>
                </w:rPr>
                <m:t>1.5m</m:t>
              </m:r>
            </m:num>
            <m:den>
              <m:r>
                <w:rPr>
                  <w:rFonts w:ascii="Cambria Math" w:hAnsi="Cambria Math"/>
                  <w:color w:val="003366"/>
                  <w:sz w:val="52"/>
                  <w:szCs w:val="52"/>
                </w:rPr>
                <m:t>0.1</m:t>
              </m:r>
            </m:den>
          </m:f>
          <m:r>
            <w:rPr>
              <w:rFonts w:ascii="Cambria Math" w:hAnsi="Cambria Math"/>
              <w:color w:val="003366"/>
              <w:sz w:val="52"/>
              <w:szCs w:val="52"/>
            </w:rPr>
            <m:t>=5m</m:t>
          </m:r>
        </m:oMath>
      </m:oMathPara>
    </w:p>
    <w:p w:rsidR="00844EB1" w:rsidRDefault="00844EB1">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tbl>
      <w:tblPr>
        <w:tblStyle w:val="TableGrid"/>
        <w:tblW w:w="14688" w:type="dxa"/>
        <w:tblLook w:val="04A0" w:firstRow="1" w:lastRow="0" w:firstColumn="1" w:lastColumn="0" w:noHBand="0" w:noVBand="1"/>
      </w:tblPr>
      <w:tblGrid>
        <w:gridCol w:w="7758"/>
        <w:gridCol w:w="3420"/>
        <w:gridCol w:w="3510"/>
      </w:tblGrid>
      <w:tr w:rsidR="00844EB1" w:rsidTr="00296F04">
        <w:tc>
          <w:tcPr>
            <w:tcW w:w="14688" w:type="dxa"/>
            <w:gridSpan w:val="3"/>
            <w:tcBorders>
              <w:top w:val="single" w:sz="4" w:space="0" w:color="auto"/>
              <w:left w:val="nil"/>
              <w:bottom w:val="single" w:sz="4" w:space="0" w:color="auto"/>
              <w:right w:val="nil"/>
            </w:tcBorders>
            <w:vAlign w:val="center"/>
          </w:tcPr>
          <w:p w:rsidR="00844EB1" w:rsidRPr="00844EB1" w:rsidRDefault="00844EB1" w:rsidP="00844EB1">
            <w:pPr>
              <w:spacing w:after="200" w:line="276" w:lineRule="auto"/>
              <w:jc w:val="center"/>
              <w:rPr>
                <w:rFonts w:asciiTheme="majorHAnsi" w:hAnsiTheme="majorHAnsi"/>
                <w:b/>
                <w:color w:val="003366"/>
                <w:sz w:val="52"/>
                <w:szCs w:val="52"/>
              </w:rPr>
            </w:pPr>
            <w:r w:rsidRPr="00844EB1">
              <w:rPr>
                <w:rFonts w:asciiTheme="majorHAnsi" w:hAnsiTheme="majorHAnsi"/>
                <w:b/>
                <w:color w:val="003366"/>
                <w:sz w:val="52"/>
                <w:szCs w:val="52"/>
              </w:rPr>
              <w:lastRenderedPageBreak/>
              <w:t>Land Development Project Details</w:t>
            </w:r>
          </w:p>
        </w:tc>
      </w:tr>
      <w:tr w:rsidR="00844EB1" w:rsidTr="00296F04">
        <w:tc>
          <w:tcPr>
            <w:tcW w:w="7758" w:type="dxa"/>
            <w:tcBorders>
              <w:top w:val="single" w:sz="4" w:space="0" w:color="auto"/>
              <w:left w:val="nil"/>
              <w:bottom w:val="single" w:sz="4" w:space="0" w:color="auto"/>
              <w:right w:val="nil"/>
            </w:tcBorders>
            <w:vAlign w:val="center"/>
          </w:tcPr>
          <w:p w:rsidR="00844EB1" w:rsidRDefault="00844EB1" w:rsidP="00844EB1">
            <w:pPr>
              <w:spacing w:after="200" w:line="276" w:lineRule="auto"/>
              <w:jc w:val="center"/>
              <w:rPr>
                <w:rFonts w:asciiTheme="majorHAnsi" w:hAnsiTheme="majorHAnsi"/>
                <w:color w:val="003366"/>
                <w:sz w:val="52"/>
                <w:szCs w:val="52"/>
              </w:rPr>
            </w:pPr>
          </w:p>
        </w:tc>
        <w:tc>
          <w:tcPr>
            <w:tcW w:w="3420" w:type="dxa"/>
            <w:tcBorders>
              <w:top w:val="single" w:sz="4" w:space="0" w:color="auto"/>
              <w:left w:val="nil"/>
              <w:bottom w:val="single" w:sz="4" w:space="0" w:color="auto"/>
              <w:right w:val="nil"/>
            </w:tcBorders>
            <w:vAlign w:val="center"/>
          </w:tcPr>
          <w:p w:rsidR="00844EB1" w:rsidRPr="00296F04" w:rsidRDefault="00844EB1" w:rsidP="00844EB1">
            <w:pPr>
              <w:spacing w:after="200" w:line="276" w:lineRule="auto"/>
              <w:jc w:val="center"/>
              <w:rPr>
                <w:rFonts w:asciiTheme="majorHAnsi" w:hAnsiTheme="majorHAnsi"/>
                <w:b/>
                <w:color w:val="003366"/>
                <w:sz w:val="52"/>
                <w:szCs w:val="52"/>
              </w:rPr>
            </w:pPr>
            <w:r w:rsidRPr="00296F04">
              <w:rPr>
                <w:rFonts w:asciiTheme="majorHAnsi" w:hAnsiTheme="majorHAnsi"/>
                <w:b/>
                <w:color w:val="003366"/>
                <w:sz w:val="52"/>
                <w:szCs w:val="52"/>
              </w:rPr>
              <w:t>Restaurant</w:t>
            </w:r>
          </w:p>
        </w:tc>
        <w:tc>
          <w:tcPr>
            <w:tcW w:w="3510" w:type="dxa"/>
            <w:tcBorders>
              <w:top w:val="single" w:sz="4" w:space="0" w:color="auto"/>
              <w:left w:val="nil"/>
              <w:bottom w:val="single" w:sz="4" w:space="0" w:color="auto"/>
              <w:right w:val="nil"/>
            </w:tcBorders>
            <w:vAlign w:val="center"/>
          </w:tcPr>
          <w:p w:rsidR="00844EB1" w:rsidRPr="00296F04" w:rsidRDefault="00844EB1" w:rsidP="00844EB1">
            <w:pPr>
              <w:spacing w:after="200" w:line="276" w:lineRule="auto"/>
              <w:jc w:val="center"/>
              <w:rPr>
                <w:rFonts w:asciiTheme="majorHAnsi" w:hAnsiTheme="majorHAnsi"/>
                <w:b/>
                <w:color w:val="003366"/>
                <w:sz w:val="52"/>
                <w:szCs w:val="52"/>
              </w:rPr>
            </w:pPr>
            <w:r w:rsidRPr="00296F04">
              <w:rPr>
                <w:rFonts w:asciiTheme="majorHAnsi" w:hAnsiTheme="majorHAnsi"/>
                <w:b/>
                <w:color w:val="003366"/>
                <w:sz w:val="52"/>
                <w:szCs w:val="52"/>
              </w:rPr>
              <w:t>Apartment block</w:t>
            </w:r>
          </w:p>
        </w:tc>
      </w:tr>
      <w:tr w:rsidR="00844EB1" w:rsidTr="00296F04">
        <w:tc>
          <w:tcPr>
            <w:tcW w:w="7758" w:type="dxa"/>
            <w:tcBorders>
              <w:top w:val="single" w:sz="4" w:space="0" w:color="auto"/>
              <w:left w:val="nil"/>
              <w:bottom w:val="nil"/>
              <w:right w:val="nil"/>
            </w:tcBorders>
            <w:vAlign w:val="center"/>
          </w:tcPr>
          <w:p w:rsidR="00844EB1" w:rsidRDefault="00844EB1" w:rsidP="00844EB1">
            <w:pPr>
              <w:spacing w:after="200" w:line="276" w:lineRule="auto"/>
              <w:rPr>
                <w:rFonts w:asciiTheme="majorHAnsi" w:hAnsiTheme="majorHAnsi"/>
                <w:color w:val="003366"/>
                <w:sz w:val="52"/>
                <w:szCs w:val="52"/>
              </w:rPr>
            </w:pPr>
            <w:r>
              <w:rPr>
                <w:rFonts w:asciiTheme="majorHAnsi" w:hAnsiTheme="majorHAnsi"/>
                <w:color w:val="003366"/>
                <w:sz w:val="52"/>
                <w:szCs w:val="52"/>
              </w:rPr>
              <w:t>Initial investment ($m)</w:t>
            </w:r>
          </w:p>
        </w:tc>
        <w:tc>
          <w:tcPr>
            <w:tcW w:w="3420" w:type="dxa"/>
            <w:tcBorders>
              <w:top w:val="single" w:sz="4" w:space="0" w:color="auto"/>
              <w:left w:val="nil"/>
              <w:bottom w:val="nil"/>
              <w:right w:val="nil"/>
            </w:tcBorders>
            <w:vAlign w:val="center"/>
          </w:tcPr>
          <w:p w:rsidR="00844EB1" w:rsidRDefault="00844EB1" w:rsidP="00844EB1">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1</w:t>
            </w:r>
          </w:p>
        </w:tc>
        <w:tc>
          <w:tcPr>
            <w:tcW w:w="3510" w:type="dxa"/>
            <w:tcBorders>
              <w:top w:val="single" w:sz="4" w:space="0" w:color="auto"/>
              <w:left w:val="nil"/>
              <w:bottom w:val="nil"/>
              <w:right w:val="nil"/>
            </w:tcBorders>
            <w:vAlign w:val="center"/>
          </w:tcPr>
          <w:p w:rsidR="00844EB1" w:rsidRDefault="00844EB1" w:rsidP="00844EB1">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10</w:t>
            </w:r>
          </w:p>
        </w:tc>
      </w:tr>
      <w:tr w:rsidR="00844EB1" w:rsidTr="00296F04">
        <w:tc>
          <w:tcPr>
            <w:tcW w:w="7758" w:type="dxa"/>
            <w:tcBorders>
              <w:top w:val="nil"/>
              <w:left w:val="nil"/>
              <w:bottom w:val="nil"/>
              <w:right w:val="nil"/>
            </w:tcBorders>
            <w:vAlign w:val="center"/>
          </w:tcPr>
          <w:p w:rsidR="00844EB1" w:rsidRDefault="00844EB1" w:rsidP="00844EB1">
            <w:pPr>
              <w:spacing w:after="200" w:line="276" w:lineRule="auto"/>
              <w:rPr>
                <w:rFonts w:asciiTheme="majorHAnsi" w:hAnsiTheme="majorHAnsi"/>
                <w:color w:val="003366"/>
                <w:sz w:val="52"/>
                <w:szCs w:val="52"/>
              </w:rPr>
            </w:pPr>
            <w:r>
              <w:rPr>
                <w:rFonts w:asciiTheme="majorHAnsi" w:hAnsiTheme="majorHAnsi"/>
                <w:color w:val="003366"/>
                <w:sz w:val="52"/>
                <w:szCs w:val="52"/>
              </w:rPr>
              <w:t>Perpetual annual cash flow ($m)</w:t>
            </w:r>
          </w:p>
        </w:tc>
        <w:tc>
          <w:tcPr>
            <w:tcW w:w="3420" w:type="dxa"/>
            <w:tcBorders>
              <w:top w:val="nil"/>
              <w:left w:val="nil"/>
              <w:bottom w:val="nil"/>
              <w:right w:val="nil"/>
            </w:tcBorders>
            <w:vAlign w:val="center"/>
          </w:tcPr>
          <w:p w:rsidR="00844EB1" w:rsidRDefault="00844EB1" w:rsidP="00844EB1">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0.2</w:t>
            </w:r>
          </w:p>
        </w:tc>
        <w:tc>
          <w:tcPr>
            <w:tcW w:w="3510" w:type="dxa"/>
            <w:tcBorders>
              <w:top w:val="nil"/>
              <w:left w:val="nil"/>
              <w:bottom w:val="nil"/>
              <w:right w:val="nil"/>
            </w:tcBorders>
            <w:vAlign w:val="center"/>
          </w:tcPr>
          <w:p w:rsidR="00844EB1" w:rsidRDefault="00844EB1" w:rsidP="00844EB1">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1.5</w:t>
            </w:r>
          </w:p>
        </w:tc>
      </w:tr>
      <w:tr w:rsidR="00844EB1" w:rsidTr="00296F04">
        <w:tc>
          <w:tcPr>
            <w:tcW w:w="7758" w:type="dxa"/>
            <w:tcBorders>
              <w:top w:val="nil"/>
              <w:left w:val="nil"/>
              <w:bottom w:val="nil"/>
              <w:right w:val="nil"/>
            </w:tcBorders>
            <w:vAlign w:val="center"/>
          </w:tcPr>
          <w:p w:rsidR="00844EB1" w:rsidRDefault="00844EB1" w:rsidP="00844EB1">
            <w:pPr>
              <w:spacing w:after="200" w:line="276" w:lineRule="auto"/>
              <w:rPr>
                <w:rFonts w:asciiTheme="majorHAnsi" w:hAnsiTheme="majorHAnsi"/>
                <w:color w:val="003366"/>
                <w:sz w:val="52"/>
                <w:szCs w:val="52"/>
              </w:rPr>
            </w:pPr>
            <w:r>
              <w:rPr>
                <w:rFonts w:asciiTheme="majorHAnsi" w:hAnsiTheme="majorHAnsi"/>
                <w:color w:val="003366"/>
                <w:sz w:val="52"/>
                <w:szCs w:val="52"/>
              </w:rPr>
              <w:t>NPV ($m)</w:t>
            </w:r>
          </w:p>
        </w:tc>
        <w:tc>
          <w:tcPr>
            <w:tcW w:w="3420" w:type="dxa"/>
            <w:tcBorders>
              <w:top w:val="nil"/>
              <w:left w:val="nil"/>
              <w:bottom w:val="nil"/>
              <w:right w:val="nil"/>
            </w:tcBorders>
            <w:vAlign w:val="center"/>
          </w:tcPr>
          <w:p w:rsidR="00844EB1" w:rsidRDefault="00844EB1" w:rsidP="00844EB1">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1</w:t>
            </w:r>
          </w:p>
        </w:tc>
        <w:tc>
          <w:tcPr>
            <w:tcW w:w="3510" w:type="dxa"/>
            <w:tcBorders>
              <w:top w:val="nil"/>
              <w:left w:val="nil"/>
              <w:bottom w:val="nil"/>
              <w:right w:val="nil"/>
            </w:tcBorders>
            <w:vAlign w:val="center"/>
          </w:tcPr>
          <w:p w:rsidR="00844EB1" w:rsidRDefault="00844EB1" w:rsidP="00844EB1">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5</w:t>
            </w:r>
          </w:p>
        </w:tc>
      </w:tr>
      <w:tr w:rsidR="00844EB1" w:rsidTr="00296F04">
        <w:tc>
          <w:tcPr>
            <w:tcW w:w="7758" w:type="dxa"/>
            <w:tcBorders>
              <w:top w:val="nil"/>
              <w:left w:val="nil"/>
              <w:bottom w:val="nil"/>
              <w:right w:val="nil"/>
            </w:tcBorders>
            <w:vAlign w:val="center"/>
          </w:tcPr>
          <w:p w:rsidR="00844EB1" w:rsidRDefault="00844EB1" w:rsidP="00844EB1">
            <w:pPr>
              <w:spacing w:after="200" w:line="276" w:lineRule="auto"/>
              <w:rPr>
                <w:rFonts w:asciiTheme="majorHAnsi" w:hAnsiTheme="majorHAnsi"/>
                <w:color w:val="003366"/>
                <w:sz w:val="52"/>
                <w:szCs w:val="52"/>
              </w:rPr>
            </w:pPr>
            <w:r>
              <w:rPr>
                <w:rFonts w:asciiTheme="majorHAnsi" w:hAnsiTheme="majorHAnsi"/>
                <w:color w:val="003366"/>
                <w:sz w:val="52"/>
                <w:szCs w:val="52"/>
              </w:rPr>
              <w:t>IRR</w:t>
            </w:r>
            <w:r w:rsidR="00296F04">
              <w:rPr>
                <w:rFonts w:asciiTheme="majorHAnsi" w:hAnsiTheme="majorHAnsi"/>
                <w:color w:val="003366"/>
                <w:sz w:val="52"/>
                <w:szCs w:val="52"/>
              </w:rPr>
              <w:t xml:space="preserve"> (pa)</w:t>
            </w:r>
          </w:p>
        </w:tc>
        <w:tc>
          <w:tcPr>
            <w:tcW w:w="3420" w:type="dxa"/>
            <w:tcBorders>
              <w:top w:val="nil"/>
              <w:left w:val="nil"/>
              <w:bottom w:val="nil"/>
              <w:right w:val="nil"/>
            </w:tcBorders>
            <w:vAlign w:val="center"/>
          </w:tcPr>
          <w:p w:rsidR="00844EB1" w:rsidRDefault="00844EB1" w:rsidP="00844EB1">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20%</w:t>
            </w:r>
          </w:p>
        </w:tc>
        <w:tc>
          <w:tcPr>
            <w:tcW w:w="3510" w:type="dxa"/>
            <w:tcBorders>
              <w:top w:val="nil"/>
              <w:left w:val="nil"/>
              <w:bottom w:val="nil"/>
              <w:right w:val="nil"/>
            </w:tcBorders>
            <w:vAlign w:val="center"/>
          </w:tcPr>
          <w:p w:rsidR="00844EB1" w:rsidRDefault="00844EB1" w:rsidP="00844EB1">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15%</w:t>
            </w:r>
          </w:p>
        </w:tc>
      </w:tr>
      <w:tr w:rsidR="00844EB1" w:rsidTr="00296F04">
        <w:tc>
          <w:tcPr>
            <w:tcW w:w="7758" w:type="dxa"/>
            <w:tcBorders>
              <w:top w:val="nil"/>
              <w:left w:val="nil"/>
              <w:bottom w:val="single" w:sz="4" w:space="0" w:color="auto"/>
              <w:right w:val="nil"/>
            </w:tcBorders>
            <w:vAlign w:val="center"/>
          </w:tcPr>
          <w:p w:rsidR="00844EB1" w:rsidRDefault="00844EB1" w:rsidP="00844EB1">
            <w:pPr>
              <w:spacing w:after="200" w:line="276" w:lineRule="auto"/>
              <w:rPr>
                <w:rFonts w:asciiTheme="majorHAnsi" w:hAnsiTheme="majorHAnsi"/>
                <w:color w:val="003366"/>
                <w:sz w:val="52"/>
                <w:szCs w:val="52"/>
              </w:rPr>
            </w:pPr>
          </w:p>
        </w:tc>
        <w:tc>
          <w:tcPr>
            <w:tcW w:w="3420" w:type="dxa"/>
            <w:tcBorders>
              <w:top w:val="nil"/>
              <w:left w:val="nil"/>
              <w:bottom w:val="single" w:sz="4" w:space="0" w:color="auto"/>
              <w:right w:val="nil"/>
            </w:tcBorders>
            <w:vAlign w:val="center"/>
          </w:tcPr>
          <w:p w:rsidR="00844EB1" w:rsidRDefault="00844EB1" w:rsidP="00844EB1">
            <w:pPr>
              <w:spacing w:after="200" w:line="276" w:lineRule="auto"/>
              <w:jc w:val="center"/>
              <w:rPr>
                <w:rFonts w:asciiTheme="majorHAnsi" w:hAnsiTheme="majorHAnsi"/>
                <w:color w:val="003366"/>
                <w:sz w:val="52"/>
                <w:szCs w:val="52"/>
              </w:rPr>
            </w:pPr>
          </w:p>
        </w:tc>
        <w:tc>
          <w:tcPr>
            <w:tcW w:w="3510" w:type="dxa"/>
            <w:tcBorders>
              <w:top w:val="nil"/>
              <w:left w:val="nil"/>
              <w:bottom w:val="single" w:sz="4" w:space="0" w:color="auto"/>
              <w:right w:val="nil"/>
            </w:tcBorders>
            <w:vAlign w:val="center"/>
          </w:tcPr>
          <w:p w:rsidR="00844EB1" w:rsidRDefault="00844EB1" w:rsidP="00844EB1">
            <w:pPr>
              <w:spacing w:after="200" w:line="276" w:lineRule="auto"/>
              <w:jc w:val="center"/>
              <w:rPr>
                <w:rFonts w:asciiTheme="majorHAnsi" w:hAnsiTheme="majorHAnsi"/>
                <w:color w:val="003366"/>
                <w:sz w:val="52"/>
                <w:szCs w:val="52"/>
              </w:rPr>
            </w:pPr>
          </w:p>
        </w:tc>
      </w:tr>
    </w:tbl>
    <w:p w:rsidR="003770E5" w:rsidRPr="000938DA" w:rsidRDefault="003770E5" w:rsidP="003770E5">
      <w:pPr>
        <w:spacing w:after="200" w:line="276" w:lineRule="auto"/>
        <w:rPr>
          <w:rFonts w:asciiTheme="majorHAnsi" w:hAnsiTheme="majorHAnsi"/>
          <w:color w:val="003366"/>
          <w:sz w:val="52"/>
          <w:szCs w:val="52"/>
        </w:rPr>
      </w:pPr>
      <w:r>
        <w:rPr>
          <w:rFonts w:asciiTheme="majorHAnsi" w:hAnsiTheme="majorHAnsi"/>
          <w:color w:val="003366"/>
          <w:sz w:val="52"/>
          <w:szCs w:val="52"/>
        </w:rPr>
        <w:t>The apartments have a higher NPV than the restaurant, so the apartments will create more wealth for the developer, even though they have a lower internal rate of return (IRR).</w:t>
      </w:r>
    </w:p>
    <w:p w:rsidR="007B660D" w:rsidRPr="00E71FD9" w:rsidRDefault="003770E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The problem with using the IRR technique here is that the projects are mutually exclusive. The apartments are much bigger than the restaurant, so the IRR method leads to an incorrect conclusion about which project is better.</w:t>
      </w:r>
    </w:p>
    <w:sectPr w:rsidR="007B660D" w:rsidRPr="00E71FD9" w:rsidSect="00545A26">
      <w:footerReference w:type="default" r:id="rId7"/>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CF" w:rsidRDefault="008220CF" w:rsidP="004E1710">
      <w:r>
        <w:separator/>
      </w:r>
    </w:p>
  </w:endnote>
  <w:endnote w:type="continuationSeparator" w:id="0">
    <w:p w:rsidR="008220CF" w:rsidRDefault="008220CF" w:rsidP="004E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2906B9" w:rsidRPr="00A656FD" w:rsidRDefault="002906B9">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B35D6B">
          <w:rPr>
            <w:i/>
            <w:noProof/>
            <w:sz w:val="36"/>
            <w:szCs w:val="36"/>
          </w:rPr>
          <w:t>6</w:t>
        </w:r>
        <w:r w:rsidRPr="00A656FD">
          <w:rPr>
            <w:i/>
            <w:sz w:val="36"/>
            <w:szCs w:val="36"/>
          </w:rPr>
          <w:fldChar w:fldCharType="end"/>
        </w:r>
      </w:p>
    </w:sdtContent>
  </w:sdt>
  <w:p w:rsidR="002906B9" w:rsidRPr="00A656FD" w:rsidRDefault="002906B9">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CF" w:rsidRDefault="008220CF" w:rsidP="004E1710">
      <w:r>
        <w:separator/>
      </w:r>
    </w:p>
  </w:footnote>
  <w:footnote w:type="continuationSeparator" w:id="0">
    <w:p w:rsidR="008220CF" w:rsidRDefault="008220CF" w:rsidP="004E1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AD"/>
    <w:multiLevelType w:val="hybridMultilevel"/>
    <w:tmpl w:val="961A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55520E"/>
    <w:multiLevelType w:val="hybridMultilevel"/>
    <w:tmpl w:val="426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B52500"/>
    <w:multiLevelType w:val="hybridMultilevel"/>
    <w:tmpl w:val="6484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CA7B1B"/>
    <w:multiLevelType w:val="hybridMultilevel"/>
    <w:tmpl w:val="3338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1858DE"/>
    <w:multiLevelType w:val="hybridMultilevel"/>
    <w:tmpl w:val="0E2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3B0A5B"/>
    <w:multiLevelType w:val="hybridMultilevel"/>
    <w:tmpl w:val="CD26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70E5"/>
    <w:rsid w:val="000428C0"/>
    <w:rsid w:val="00057021"/>
    <w:rsid w:val="00174FAD"/>
    <w:rsid w:val="00215509"/>
    <w:rsid w:val="002768A6"/>
    <w:rsid w:val="002775F0"/>
    <w:rsid w:val="002906B9"/>
    <w:rsid w:val="00296F04"/>
    <w:rsid w:val="002D1141"/>
    <w:rsid w:val="002D2854"/>
    <w:rsid w:val="003770E5"/>
    <w:rsid w:val="003F363E"/>
    <w:rsid w:val="004035D7"/>
    <w:rsid w:val="00495A57"/>
    <w:rsid w:val="004E1710"/>
    <w:rsid w:val="004E7BC8"/>
    <w:rsid w:val="004F438F"/>
    <w:rsid w:val="00513F97"/>
    <w:rsid w:val="0052165F"/>
    <w:rsid w:val="00543195"/>
    <w:rsid w:val="00545A26"/>
    <w:rsid w:val="005C2D73"/>
    <w:rsid w:val="005C2D7B"/>
    <w:rsid w:val="005E4544"/>
    <w:rsid w:val="0060003B"/>
    <w:rsid w:val="00622F59"/>
    <w:rsid w:val="00630CAB"/>
    <w:rsid w:val="006D5C23"/>
    <w:rsid w:val="006E362F"/>
    <w:rsid w:val="006F3933"/>
    <w:rsid w:val="007265EF"/>
    <w:rsid w:val="007B660D"/>
    <w:rsid w:val="007E78A4"/>
    <w:rsid w:val="007F74F8"/>
    <w:rsid w:val="008220CF"/>
    <w:rsid w:val="00844EB1"/>
    <w:rsid w:val="00856C96"/>
    <w:rsid w:val="008C1652"/>
    <w:rsid w:val="00923CC8"/>
    <w:rsid w:val="0095106D"/>
    <w:rsid w:val="00A90D89"/>
    <w:rsid w:val="00AB68C2"/>
    <w:rsid w:val="00AD0A71"/>
    <w:rsid w:val="00B06CE7"/>
    <w:rsid w:val="00B35D6B"/>
    <w:rsid w:val="00B9244B"/>
    <w:rsid w:val="00C07F93"/>
    <w:rsid w:val="00C105F7"/>
    <w:rsid w:val="00C203B1"/>
    <w:rsid w:val="00C30EB5"/>
    <w:rsid w:val="00D1185C"/>
    <w:rsid w:val="00D15982"/>
    <w:rsid w:val="00D55F8F"/>
    <w:rsid w:val="00E455DC"/>
    <w:rsid w:val="00E71744"/>
    <w:rsid w:val="00E71FD9"/>
    <w:rsid w:val="00E72BBF"/>
    <w:rsid w:val="00EA53A0"/>
    <w:rsid w:val="00EC2607"/>
    <w:rsid w:val="00FD4BB8"/>
    <w:rsid w:val="00FD53C5"/>
    <w:rsid w:val="00FE7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C7698-15BE-4D65-8200-7231F508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0E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70E5"/>
    <w:pPr>
      <w:tabs>
        <w:tab w:val="center" w:pos="4513"/>
        <w:tab w:val="right" w:pos="9026"/>
      </w:tabs>
    </w:pPr>
  </w:style>
  <w:style w:type="character" w:customStyle="1" w:styleId="FooterChar">
    <w:name w:val="Footer Char"/>
    <w:basedOn w:val="DefaultParagraphFont"/>
    <w:link w:val="Footer"/>
    <w:uiPriority w:val="99"/>
    <w:rsid w:val="003770E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770E5"/>
    <w:pPr>
      <w:ind w:left="720"/>
      <w:contextualSpacing/>
    </w:pPr>
  </w:style>
  <w:style w:type="character" w:styleId="Hyperlink">
    <w:name w:val="Hyperlink"/>
    <w:basedOn w:val="DefaultParagraphFont"/>
    <w:uiPriority w:val="99"/>
    <w:unhideWhenUsed/>
    <w:rsid w:val="003770E5"/>
    <w:rPr>
      <w:color w:val="0000FF" w:themeColor="hyperlink"/>
      <w:u w:val="single"/>
    </w:rPr>
  </w:style>
  <w:style w:type="paragraph" w:styleId="BalloonText">
    <w:name w:val="Balloon Text"/>
    <w:basedOn w:val="Normal"/>
    <w:link w:val="BalloonTextChar"/>
    <w:uiPriority w:val="99"/>
    <w:semiHidden/>
    <w:unhideWhenUsed/>
    <w:rsid w:val="003770E5"/>
    <w:rPr>
      <w:rFonts w:ascii="Tahoma" w:hAnsi="Tahoma" w:cs="Tahoma"/>
      <w:sz w:val="16"/>
      <w:szCs w:val="16"/>
    </w:rPr>
  </w:style>
  <w:style w:type="character" w:customStyle="1" w:styleId="BalloonTextChar">
    <w:name w:val="Balloon Text Char"/>
    <w:basedOn w:val="DefaultParagraphFont"/>
    <w:link w:val="BalloonText"/>
    <w:uiPriority w:val="99"/>
    <w:semiHidden/>
    <w:rsid w:val="003770E5"/>
    <w:rPr>
      <w:rFonts w:ascii="Tahoma" w:eastAsia="Times New Roman" w:hAnsi="Tahoma" w:cs="Tahoma"/>
      <w:sz w:val="16"/>
      <w:szCs w:val="16"/>
      <w:lang w:val="en-US"/>
    </w:rPr>
  </w:style>
  <w:style w:type="paragraph" w:styleId="Header">
    <w:name w:val="header"/>
    <w:basedOn w:val="Normal"/>
    <w:link w:val="HeaderChar"/>
    <w:uiPriority w:val="99"/>
    <w:unhideWhenUsed/>
    <w:rsid w:val="00E71744"/>
    <w:pPr>
      <w:tabs>
        <w:tab w:val="center" w:pos="4513"/>
        <w:tab w:val="right" w:pos="9026"/>
      </w:tabs>
    </w:pPr>
  </w:style>
  <w:style w:type="character" w:customStyle="1" w:styleId="HeaderChar">
    <w:name w:val="Header Char"/>
    <w:basedOn w:val="DefaultParagraphFont"/>
    <w:link w:val="Header"/>
    <w:uiPriority w:val="99"/>
    <w:rsid w:val="00E71744"/>
    <w:rPr>
      <w:rFonts w:ascii="Times New Roman" w:eastAsia="Times New Roman" w:hAnsi="Times New Roman" w:cs="Times New Roman"/>
      <w:sz w:val="20"/>
      <w:szCs w:val="20"/>
      <w:lang w:val="en-US"/>
    </w:rPr>
  </w:style>
  <w:style w:type="table" w:styleId="TableGrid">
    <w:name w:val="Table Grid"/>
    <w:basedOn w:val="TableNormal"/>
    <w:uiPriority w:val="59"/>
    <w:rsid w:val="0084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keithphw@hotmail.com</cp:lastModifiedBy>
  <cp:revision>32</cp:revision>
  <dcterms:created xsi:type="dcterms:W3CDTF">2015-06-20T02:14:00Z</dcterms:created>
  <dcterms:modified xsi:type="dcterms:W3CDTF">2020-02-05T05:28:00Z</dcterms:modified>
</cp:coreProperties>
</file>