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0F" w:rsidRDefault="00836D0F" w:rsidP="00836D0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Futures vs Forward Contracts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Futures and forwards are very similar since they both lock in a price to buy or sell an underlying asset at expiry (also called maturity). The differences are summarized below:</w:t>
      </w:r>
    </w:p>
    <w:tbl>
      <w:tblPr>
        <w:tblStyle w:val="PlainTable1"/>
        <w:tblW w:w="14631" w:type="dxa"/>
        <w:tblLook w:val="04A0" w:firstRow="1" w:lastRow="0" w:firstColumn="1" w:lastColumn="0" w:noHBand="0" w:noVBand="1"/>
      </w:tblPr>
      <w:tblGrid>
        <w:gridCol w:w="3985"/>
        <w:gridCol w:w="5426"/>
        <w:gridCol w:w="5220"/>
      </w:tblGrid>
      <w:tr w:rsidR="00836D0F" w:rsidRPr="00426FE1" w:rsidTr="002E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Futures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Forwards</w:t>
            </w:r>
          </w:p>
        </w:tc>
      </w:tr>
      <w:tr w:rsidR="00836D0F" w:rsidRPr="00426FE1" w:rsidTr="002E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Market</w:t>
            </w: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Exchange traded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Over-the-counter (OTC)</w:t>
            </w:r>
          </w:p>
        </w:tc>
      </w:tr>
      <w:tr w:rsidR="00836D0F" w:rsidRPr="00426FE1" w:rsidTr="002E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Default risk</w:t>
            </w: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Almost none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Winner exposed.</w:t>
            </w:r>
          </w:p>
        </w:tc>
      </w:tr>
      <w:tr w:rsidR="00836D0F" w:rsidRPr="00426FE1" w:rsidTr="002E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Standardisation</w:t>
            </w: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Highly standardised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>
              <w:rPr>
                <w:rFonts w:asciiTheme="majorHAnsi" w:hAnsiTheme="majorHAnsi"/>
                <w:color w:val="003366"/>
                <w:sz w:val="44"/>
                <w:szCs w:val="44"/>
              </w:rPr>
              <w:t>T</w:t>
            </w: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ailored</w:t>
            </w:r>
            <w:r>
              <w:rPr>
                <w:rFonts w:asciiTheme="majorHAnsi" w:hAnsiTheme="majorHAnsi"/>
                <w:color w:val="003366"/>
                <w:sz w:val="44"/>
                <w:szCs w:val="44"/>
              </w:rPr>
              <w:t>, not standardised</w:t>
            </w:r>
          </w:p>
        </w:tc>
      </w:tr>
      <w:tr w:rsidR="00836D0F" w:rsidRPr="00426FE1" w:rsidTr="002E2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Liquid</w:t>
            </w:r>
            <w:r>
              <w:rPr>
                <w:rFonts w:asciiTheme="majorHAnsi" w:hAnsiTheme="majorHAnsi"/>
                <w:color w:val="003366"/>
                <w:sz w:val="44"/>
                <w:szCs w:val="44"/>
              </w:rPr>
              <w:t>ity</w:t>
            </w: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Highly liquid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Illiquid</w:t>
            </w:r>
          </w:p>
        </w:tc>
      </w:tr>
      <w:tr w:rsidR="00836D0F" w:rsidRPr="00426FE1" w:rsidTr="002E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dxa"/>
          </w:tcPr>
          <w:p w:rsidR="00836D0F" w:rsidRPr="00426FE1" w:rsidRDefault="00836D0F" w:rsidP="002E2BFB">
            <w:pPr>
              <w:spacing w:after="200" w:line="276" w:lineRule="auto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M</w:t>
            </w:r>
            <w:r>
              <w:rPr>
                <w:rFonts w:asciiTheme="majorHAnsi" w:hAnsiTheme="majorHAnsi"/>
                <w:color w:val="003366"/>
                <w:sz w:val="44"/>
                <w:szCs w:val="44"/>
              </w:rPr>
              <w:t>argin</w:t>
            </w:r>
          </w:p>
        </w:tc>
        <w:tc>
          <w:tcPr>
            <w:tcW w:w="5426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>
              <w:rPr>
                <w:rFonts w:asciiTheme="majorHAnsi" w:hAnsiTheme="majorHAnsi"/>
                <w:color w:val="003366"/>
                <w:sz w:val="44"/>
                <w:szCs w:val="44"/>
              </w:rPr>
              <w:t>Initial and maintenance margin, marked</w:t>
            </w: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-to-market daily</w:t>
            </w:r>
          </w:p>
        </w:tc>
        <w:tc>
          <w:tcPr>
            <w:tcW w:w="5220" w:type="dxa"/>
          </w:tcPr>
          <w:p w:rsidR="00836D0F" w:rsidRPr="00426FE1" w:rsidRDefault="00836D0F" w:rsidP="002E2B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26FE1">
              <w:rPr>
                <w:rFonts w:asciiTheme="majorHAnsi" w:hAnsiTheme="majorHAnsi"/>
                <w:color w:val="003366"/>
                <w:sz w:val="44"/>
                <w:szCs w:val="44"/>
              </w:rPr>
              <w:t>None</w:t>
            </w:r>
          </w:p>
        </w:tc>
      </w:tr>
    </w:tbl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4DDF" wp14:editId="6A0B256C">
                <wp:simplePos x="0" y="0"/>
                <wp:positionH relativeFrom="column">
                  <wp:posOffset>7820025</wp:posOffset>
                </wp:positionH>
                <wp:positionV relativeFrom="paragraph">
                  <wp:posOffset>208915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D0F" w:rsidRPr="003C069A" w:rsidRDefault="00836D0F" w:rsidP="00836D0F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4.3.17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F4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5.75pt;margin-top:16.45pt;width:135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" stroked="f">
                <v:textbox>
                  <w:txbxContent>
                    <w:p w:rsidR="00836D0F" w:rsidRPr="003C069A" w:rsidRDefault="00836D0F" w:rsidP="00836D0F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4.3.17 KW</w:t>
                      </w:r>
                    </w:p>
                  </w:txbxContent>
                </v:textbox>
              </v:shape>
            </w:pict>
          </mc:Fallback>
        </mc:AlternateConten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Forwards: Winners Exposed to Credit Risk</w:t>
      </w:r>
    </w:p>
    <w:p w:rsidR="00836D0F" w:rsidRPr="0010544A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Forward contract winners are exposed to the credit risk of forward contract losers, and the winner may not discover the problem until maturity.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you buy a forward contract from your counterparty, and the underlying asset price rises more than expected above the futures price at maturity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&gt;0</m:t>
        </m:r>
      </m:oMath>
      <w:r>
        <w:rPr>
          <w:rFonts w:asciiTheme="majorHAnsi" w:hAnsiTheme="majorHAnsi"/>
          <w:color w:val="003366"/>
          <w:sz w:val="52"/>
          <w:szCs w:val="52"/>
        </w:rPr>
        <w:t>), you</w:t>
      </w:r>
      <w:r w:rsidR="00DC2080">
        <w:rPr>
          <w:rFonts w:asciiTheme="majorHAnsi" w:hAnsiTheme="majorHAnsi"/>
          <w:color w:val="003366"/>
          <w:sz w:val="52"/>
          <w:szCs w:val="52"/>
        </w:rPr>
        <w:t>’</w:t>
      </w:r>
      <w:r>
        <w:rPr>
          <w:rFonts w:asciiTheme="majorHAnsi" w:hAnsiTheme="majorHAnsi"/>
          <w:color w:val="003366"/>
          <w:sz w:val="52"/>
          <w:szCs w:val="52"/>
        </w:rPr>
        <w:t>re the winner!</w:t>
      </w:r>
    </w:p>
    <w:p w:rsidR="00DC2080" w:rsidRPr="00DA0354" w:rsidRDefault="00DC2080" w:rsidP="00DC208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 LongFuture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Your counterparty loser will owe you the difference between the underlying asset price </w:t>
      </w:r>
      <w:r w:rsidR="00DC2080">
        <w:rPr>
          <w:rFonts w:asciiTheme="majorHAnsi" w:hAnsiTheme="majorHAnsi"/>
          <w:color w:val="003366"/>
          <w:sz w:val="52"/>
          <w:szCs w:val="52"/>
        </w:rPr>
        <w:t>and the locked-in futures price.</w:t>
      </w:r>
    </w:p>
    <w:p w:rsidR="00DC2080" w:rsidRPr="00DA0354" w:rsidRDefault="00DC2080" w:rsidP="00DC208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T 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Short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Future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 LongFuture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But if your counterparty is bankrupt and can’t afford </w:t>
      </w:r>
      <w:r w:rsidR="00DC2080">
        <w:rPr>
          <w:rFonts w:asciiTheme="majorHAnsi" w:hAnsiTheme="majorHAnsi"/>
          <w:color w:val="003366"/>
          <w:sz w:val="52"/>
          <w:szCs w:val="52"/>
        </w:rPr>
        <w:t>to pay you the winnings</w:t>
      </w:r>
      <w:r>
        <w:rPr>
          <w:rFonts w:asciiTheme="majorHAnsi" w:hAnsiTheme="majorHAnsi"/>
          <w:color w:val="003366"/>
          <w:sz w:val="52"/>
          <w:szCs w:val="52"/>
        </w:rPr>
        <w:t xml:space="preserve">, you could end up being paid nothing! </w:t>
      </w:r>
    </w:p>
    <w:p w:rsidR="00DC2080" w:rsidRDefault="00DC208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Novation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All </w:t>
      </w:r>
      <w:r w:rsidRPr="007F2D1D">
        <w:rPr>
          <w:rFonts w:asciiTheme="majorHAnsi" w:hAnsiTheme="majorHAnsi"/>
          <w:b/>
          <w:color w:val="003366"/>
          <w:sz w:val="52"/>
          <w:szCs w:val="52"/>
        </w:rPr>
        <w:t>futures</w:t>
      </w:r>
      <w:r>
        <w:rPr>
          <w:rFonts w:asciiTheme="majorHAnsi" w:hAnsiTheme="majorHAnsi"/>
          <w:color w:val="003366"/>
          <w:sz w:val="52"/>
          <w:szCs w:val="52"/>
        </w:rPr>
        <w:t xml:space="preserve"> contracts are novated, which means that the </w:t>
      </w:r>
      <w:r w:rsidRPr="00261843">
        <w:rPr>
          <w:rFonts w:asciiTheme="majorHAnsi" w:hAnsiTheme="majorHAnsi"/>
          <w:b/>
          <w:color w:val="003366"/>
          <w:sz w:val="52"/>
          <w:szCs w:val="52"/>
        </w:rPr>
        <w:t>exchange steps in</w:t>
      </w:r>
      <w:r>
        <w:rPr>
          <w:rFonts w:asciiTheme="majorHAnsi" w:hAnsiTheme="majorHAnsi"/>
          <w:color w:val="003366"/>
          <w:sz w:val="52"/>
          <w:szCs w:val="52"/>
        </w:rPr>
        <w:t xml:space="preserve"> between the futures buyer and seller so that each has a contract with the exchange, not with each other. Forwards are not novated since they’re not exchange traded.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Futures contract winners are exposed to the credit risk of the exchange only - which is negligibly low. </w:t>
      </w:r>
    </w:p>
    <w:p w:rsidR="00836D0F" w:rsidRDefault="00D20799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Therefore every future</w:t>
      </w:r>
      <w:r w:rsidR="00836D0F">
        <w:rPr>
          <w:rFonts w:asciiTheme="majorHAnsi" w:hAnsiTheme="majorHAnsi"/>
          <w:color w:val="003366"/>
          <w:sz w:val="52"/>
          <w:szCs w:val="52"/>
        </w:rPr>
        <w:t xml:space="preserve"> trader’s counterparty is technically the exchange. 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When futures buyers and sellers find each other and create a futures contract, actually two contracts are created - between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>the long trader and the exchange, and between the short trader and the exchange.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 are the winner in a futures contract, you can rely on the exchange to pay you. They have huge reserves of funds to support </w:t>
      </w:r>
      <w:r w:rsidR="00D20799">
        <w:rPr>
          <w:rFonts w:asciiTheme="majorHAnsi" w:hAnsiTheme="majorHAnsi"/>
          <w:color w:val="003366"/>
          <w:sz w:val="52"/>
          <w:szCs w:val="52"/>
        </w:rPr>
        <w:t>their contractual obligations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 are the loser in a futures contract, and you can’t afford to pay, you can rely on the exchange to take you to court! But the exchange will still honour </w:t>
      </w:r>
      <w:r w:rsidR="00D20799">
        <w:rPr>
          <w:rFonts w:asciiTheme="majorHAnsi" w:hAnsiTheme="majorHAnsi"/>
          <w:color w:val="003366"/>
          <w:sz w:val="52"/>
          <w:szCs w:val="52"/>
        </w:rPr>
        <w:t xml:space="preserve">it payments to </w:t>
      </w:r>
      <w:r>
        <w:rPr>
          <w:rFonts w:asciiTheme="majorHAnsi" w:hAnsiTheme="majorHAnsi"/>
          <w:color w:val="003366"/>
          <w:sz w:val="52"/>
          <w:szCs w:val="52"/>
        </w:rPr>
        <w:t xml:space="preserve">the futures contract winner. It’s the exchange’s problem to recover </w:t>
      </w:r>
      <w:r w:rsidR="00D20799">
        <w:rPr>
          <w:rFonts w:asciiTheme="majorHAnsi" w:hAnsiTheme="majorHAnsi"/>
          <w:color w:val="003366"/>
          <w:sz w:val="52"/>
          <w:szCs w:val="52"/>
        </w:rPr>
        <w:t>any</w:t>
      </w:r>
      <w:r>
        <w:rPr>
          <w:rFonts w:asciiTheme="majorHAnsi" w:hAnsiTheme="majorHAnsi"/>
          <w:color w:val="003366"/>
          <w:sz w:val="52"/>
          <w:szCs w:val="52"/>
        </w:rPr>
        <w:t xml:space="preserve"> losses that </w:t>
      </w:r>
      <w:r w:rsidR="00D20799">
        <w:rPr>
          <w:rFonts w:asciiTheme="majorHAnsi" w:hAnsiTheme="majorHAnsi"/>
          <w:color w:val="003366"/>
          <w:sz w:val="52"/>
          <w:szCs w:val="52"/>
        </w:rPr>
        <w:t>the loser</w:t>
      </w:r>
      <w:r>
        <w:rPr>
          <w:rFonts w:asciiTheme="majorHAnsi" w:hAnsiTheme="majorHAnsi"/>
          <w:color w:val="003366"/>
          <w:sz w:val="52"/>
          <w:szCs w:val="52"/>
        </w:rPr>
        <w:t xml:space="preserve"> can’t pay. 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Exchanges are also protected from credit risk by making their brokers and their clients submit margin payments.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Exchanges and Brokers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trade futures you will need a futures broker who will be a member of a futures exchange. 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For example, InteractiveBrokers is an online broker who is a member of many exchanges including the ASX.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Exchanges do not let retail clients open direct accounts with them, you must use a broker.</w:t>
      </w:r>
    </w:p>
    <w:p w:rsidR="00836D0F" w:rsidRDefault="00836D0F" w:rsidP="00836D0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 list of brokers on the Australian Securities Exchange (ASX):</w:t>
      </w:r>
    </w:p>
    <w:p w:rsidR="000C2332" w:rsidRPr="008A226D" w:rsidRDefault="00B020F2" w:rsidP="00080E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8" w:history="1">
        <w:r w:rsidR="00836D0F" w:rsidRPr="00F9057D">
          <w:rPr>
            <w:rStyle w:val="Hyperlink"/>
            <w:rFonts w:asciiTheme="majorHAnsi" w:hAnsiTheme="majorHAnsi"/>
            <w:sz w:val="52"/>
            <w:szCs w:val="52"/>
          </w:rPr>
          <w:t>http://www.asx.com.au/prices/find-a-futures-broker.htm</w:t>
        </w:r>
      </w:hyperlink>
      <w:bookmarkStart w:id="0" w:name="_GoBack"/>
      <w:bookmarkEnd w:id="0"/>
      <w:r w:rsidR="00316E1C" w:rsidRPr="00316E1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sectPr w:rsidR="000C2332" w:rsidRPr="008A226D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F2" w:rsidRDefault="00B020F2" w:rsidP="00A656FD">
      <w:r>
        <w:separator/>
      </w:r>
    </w:p>
  </w:endnote>
  <w:endnote w:type="continuationSeparator" w:id="0">
    <w:p w:rsidR="00B020F2" w:rsidRDefault="00B020F2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CD6349" w:rsidRPr="00A656FD" w:rsidRDefault="00CD6349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8A226D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CD6349" w:rsidRPr="00A656FD" w:rsidRDefault="00CD6349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F2" w:rsidRDefault="00B020F2" w:rsidP="00A656FD">
      <w:r>
        <w:separator/>
      </w:r>
    </w:p>
  </w:footnote>
  <w:footnote w:type="continuationSeparator" w:id="0">
    <w:p w:rsidR="00B020F2" w:rsidRDefault="00B020F2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375D9"/>
    <w:multiLevelType w:val="hybridMultilevel"/>
    <w:tmpl w:val="C9FC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37C0"/>
    <w:multiLevelType w:val="hybridMultilevel"/>
    <w:tmpl w:val="0BBE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50A5D"/>
    <w:multiLevelType w:val="hybridMultilevel"/>
    <w:tmpl w:val="9E688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72CD8"/>
    <w:multiLevelType w:val="hybridMultilevel"/>
    <w:tmpl w:val="3FC4B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7"/>
  </w:num>
  <w:num w:numId="4">
    <w:abstractNumId w:val="16"/>
  </w:num>
  <w:num w:numId="5">
    <w:abstractNumId w:val="40"/>
  </w:num>
  <w:num w:numId="6">
    <w:abstractNumId w:val="14"/>
  </w:num>
  <w:num w:numId="7">
    <w:abstractNumId w:val="3"/>
  </w:num>
  <w:num w:numId="8">
    <w:abstractNumId w:val="15"/>
  </w:num>
  <w:num w:numId="9">
    <w:abstractNumId w:val="19"/>
  </w:num>
  <w:num w:numId="10">
    <w:abstractNumId w:val="12"/>
  </w:num>
  <w:num w:numId="11">
    <w:abstractNumId w:val="10"/>
  </w:num>
  <w:num w:numId="12">
    <w:abstractNumId w:val="24"/>
  </w:num>
  <w:num w:numId="13">
    <w:abstractNumId w:val="4"/>
  </w:num>
  <w:num w:numId="14">
    <w:abstractNumId w:val="30"/>
  </w:num>
  <w:num w:numId="15">
    <w:abstractNumId w:val="42"/>
  </w:num>
  <w:num w:numId="16">
    <w:abstractNumId w:val="9"/>
  </w:num>
  <w:num w:numId="17">
    <w:abstractNumId w:val="8"/>
  </w:num>
  <w:num w:numId="18">
    <w:abstractNumId w:val="33"/>
  </w:num>
  <w:num w:numId="19">
    <w:abstractNumId w:val="1"/>
  </w:num>
  <w:num w:numId="20">
    <w:abstractNumId w:val="36"/>
  </w:num>
  <w:num w:numId="21">
    <w:abstractNumId w:val="38"/>
  </w:num>
  <w:num w:numId="22">
    <w:abstractNumId w:val="27"/>
  </w:num>
  <w:num w:numId="23">
    <w:abstractNumId w:val="13"/>
  </w:num>
  <w:num w:numId="24">
    <w:abstractNumId w:val="2"/>
  </w:num>
  <w:num w:numId="25">
    <w:abstractNumId w:val="18"/>
  </w:num>
  <w:num w:numId="26">
    <w:abstractNumId w:val="0"/>
  </w:num>
  <w:num w:numId="27">
    <w:abstractNumId w:val="31"/>
  </w:num>
  <w:num w:numId="28">
    <w:abstractNumId w:val="32"/>
  </w:num>
  <w:num w:numId="29">
    <w:abstractNumId w:val="26"/>
  </w:num>
  <w:num w:numId="30">
    <w:abstractNumId w:val="21"/>
  </w:num>
  <w:num w:numId="31">
    <w:abstractNumId w:val="6"/>
  </w:num>
  <w:num w:numId="32">
    <w:abstractNumId w:val="20"/>
  </w:num>
  <w:num w:numId="33">
    <w:abstractNumId w:val="23"/>
  </w:num>
  <w:num w:numId="34">
    <w:abstractNumId w:val="29"/>
  </w:num>
  <w:num w:numId="35">
    <w:abstractNumId w:val="5"/>
  </w:num>
  <w:num w:numId="36">
    <w:abstractNumId w:val="37"/>
  </w:num>
  <w:num w:numId="37">
    <w:abstractNumId w:val="7"/>
  </w:num>
  <w:num w:numId="38">
    <w:abstractNumId w:val="39"/>
  </w:num>
  <w:num w:numId="39">
    <w:abstractNumId w:val="28"/>
  </w:num>
  <w:num w:numId="40">
    <w:abstractNumId w:val="34"/>
  </w:num>
  <w:num w:numId="41">
    <w:abstractNumId w:val="41"/>
  </w:num>
  <w:num w:numId="42">
    <w:abstractNumId w:val="22"/>
  </w:num>
  <w:num w:numId="4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57F5C"/>
    <w:rsid w:val="00060228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2B6"/>
    <w:rsid w:val="00073335"/>
    <w:rsid w:val="00074363"/>
    <w:rsid w:val="00075F2E"/>
    <w:rsid w:val="000761AD"/>
    <w:rsid w:val="000761FA"/>
    <w:rsid w:val="00076B09"/>
    <w:rsid w:val="00076C6A"/>
    <w:rsid w:val="00080EE5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494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432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2ED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1AE7"/>
    <w:rsid w:val="00204A8F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5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843"/>
    <w:rsid w:val="00261C77"/>
    <w:rsid w:val="00262361"/>
    <w:rsid w:val="00262D42"/>
    <w:rsid w:val="002631EC"/>
    <w:rsid w:val="002640F0"/>
    <w:rsid w:val="002653B8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0652"/>
    <w:rsid w:val="002B24FE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6E1C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0E7B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0E35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1A86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6FE1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1882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628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0F14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67A9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2AA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C76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0C64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3F3C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049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2159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2D1D"/>
    <w:rsid w:val="007F3899"/>
    <w:rsid w:val="007F3FF0"/>
    <w:rsid w:val="007F5606"/>
    <w:rsid w:val="007F6761"/>
    <w:rsid w:val="007F70DF"/>
    <w:rsid w:val="007F7DA4"/>
    <w:rsid w:val="00800262"/>
    <w:rsid w:val="008005B6"/>
    <w:rsid w:val="00800CE4"/>
    <w:rsid w:val="0080128D"/>
    <w:rsid w:val="008014E8"/>
    <w:rsid w:val="00801FB8"/>
    <w:rsid w:val="00802D6E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6D0F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26D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A6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2D1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2348"/>
    <w:rsid w:val="00964A6F"/>
    <w:rsid w:val="00964C0F"/>
    <w:rsid w:val="00965658"/>
    <w:rsid w:val="0096566B"/>
    <w:rsid w:val="00966EB4"/>
    <w:rsid w:val="0096772A"/>
    <w:rsid w:val="00970739"/>
    <w:rsid w:val="009709A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55A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28D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6ECE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1EA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5F4C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132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0F2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A8F"/>
    <w:rsid w:val="00B33DAE"/>
    <w:rsid w:val="00B366D3"/>
    <w:rsid w:val="00B36CEA"/>
    <w:rsid w:val="00B37333"/>
    <w:rsid w:val="00B37AC0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6F4F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6AF4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663E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349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0799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9D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A16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0354"/>
    <w:rsid w:val="00DA0EB0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080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27DB0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22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1D61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2B92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057D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table" w:styleId="PlainTable1">
    <w:name w:val="Plain Table 1"/>
    <w:basedOn w:val="TableNormal"/>
    <w:uiPriority w:val="41"/>
    <w:rsid w:val="00426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9252D1"/>
    <w:pPr>
      <w:spacing w:before="100" w:beforeAutospacing="1" w:after="100" w:afterAutospacing="1"/>
    </w:pPr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prices/find-a-futures-broke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B05C-BFFD-4D32-9BC9-47583116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74</cp:revision>
  <cp:lastPrinted>2017-01-18T11:52:00Z</cp:lastPrinted>
  <dcterms:created xsi:type="dcterms:W3CDTF">2017-01-17T05:21:00Z</dcterms:created>
  <dcterms:modified xsi:type="dcterms:W3CDTF">2017-03-05T11:37:00Z</dcterms:modified>
</cp:coreProperties>
</file>