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DD" w:rsidRDefault="006E0944" w:rsidP="00E1656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Sum and Product functions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capital Greek letter sigma denotes the sum of T discrete values (from t=1 to T) of some variable x:</w:t>
      </w:r>
    </w:p>
    <w:p w:rsidR="00EC3BDD" w:rsidRDefault="00DE6EA5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</m:nary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bookmarkStart w:id="0" w:name="_GoBack"/>
      <w:bookmarkEnd w:id="0"/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capital Greek letter pi denotes the product of T discrete values (from t=1 to T) of some variable x:</w:t>
      </w:r>
    </w:p>
    <w:p w:rsidR="00EC3BDD" w:rsidRDefault="00DE6EA5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</m:nary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×…×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397947" w:rsidRDefault="0039794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EC3BDD" w:rsidRPr="00F85C1A" w:rsidRDefault="00E94DD2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Single Period Returns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30F8">
        <w:rPr>
          <w:rFonts w:asciiTheme="majorHAnsi" w:hAnsiTheme="majorHAnsi"/>
          <w:b/>
          <w:color w:val="003366"/>
          <w:sz w:val="52"/>
          <w:szCs w:val="52"/>
        </w:rPr>
        <w:t>Gross discrete return</w:t>
      </w:r>
      <w:r w:rsidRPr="002030F8">
        <w:rPr>
          <w:rFonts w:asciiTheme="majorHAnsi" w:hAnsiTheme="majorHAnsi"/>
          <w:color w:val="003366"/>
          <w:sz w:val="52"/>
          <w:szCs w:val="52"/>
        </w:rPr>
        <w:t>, often denoted by capital R: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30F8">
        <w:rPr>
          <w:rFonts w:asciiTheme="majorHAnsi" w:hAnsiTheme="majorHAnsi"/>
          <w:b/>
          <w:color w:val="003366"/>
          <w:sz w:val="52"/>
          <w:szCs w:val="52"/>
        </w:rPr>
        <w:t>Net discrete return</w:t>
      </w:r>
      <w:r w:rsidRPr="002030F8">
        <w:rPr>
          <w:rFonts w:asciiTheme="majorHAnsi" w:hAnsiTheme="majorHAnsi"/>
          <w:color w:val="003366"/>
          <w:sz w:val="52"/>
          <w:szCs w:val="52"/>
        </w:rPr>
        <w:t xml:space="preserve">, </w:t>
      </w:r>
      <w:r>
        <w:rPr>
          <w:rFonts w:asciiTheme="majorHAnsi" w:hAnsiTheme="majorHAnsi"/>
          <w:color w:val="003366"/>
          <w:sz w:val="52"/>
          <w:szCs w:val="52"/>
        </w:rPr>
        <w:t xml:space="preserve">also called the </w:t>
      </w:r>
      <w:r w:rsidR="00E94DD2">
        <w:rPr>
          <w:rFonts w:asciiTheme="majorHAnsi" w:hAnsiTheme="majorHAnsi"/>
          <w:color w:val="003366"/>
          <w:sz w:val="52"/>
          <w:szCs w:val="52"/>
        </w:rPr>
        <w:t xml:space="preserve">effective return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 w:rsidR="006275ED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E94DD2">
        <w:rPr>
          <w:rFonts w:asciiTheme="majorHAnsi" w:hAnsiTheme="majorHAnsi"/>
          <w:color w:val="003366"/>
          <w:sz w:val="52"/>
          <w:szCs w:val="52"/>
        </w:rPr>
        <w:t xml:space="preserve">or </w:t>
      </w:r>
      <w:r>
        <w:rPr>
          <w:rFonts w:asciiTheme="majorHAnsi" w:hAnsiTheme="majorHAnsi"/>
          <w:color w:val="003366"/>
          <w:sz w:val="52"/>
          <w:szCs w:val="52"/>
        </w:rPr>
        <w:t>relative return</w:t>
      </w:r>
      <w:r w:rsidR="006275ED">
        <w:rPr>
          <w:rFonts w:asciiTheme="majorHAnsi" w:hAnsiTheme="majorHAnsi"/>
          <w:color w:val="003366"/>
          <w:sz w:val="52"/>
          <w:szCs w:val="52"/>
        </w:rPr>
        <w:t>, o</w:t>
      </w:r>
      <w:r>
        <w:rPr>
          <w:rFonts w:asciiTheme="majorHAnsi" w:hAnsiTheme="majorHAnsi"/>
          <w:color w:val="003366"/>
          <w:sz w:val="52"/>
          <w:szCs w:val="52"/>
        </w:rPr>
        <w:t xml:space="preserve">ften denoted by lower case </w:t>
      </w:r>
      <w:r w:rsidRPr="002030F8">
        <w:rPr>
          <w:rFonts w:asciiTheme="majorHAnsi" w:hAnsiTheme="majorHAnsi"/>
          <w:color w:val="003366"/>
          <w:sz w:val="52"/>
          <w:szCs w:val="52"/>
        </w:rPr>
        <w:t>r: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-1=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30F8">
        <w:rPr>
          <w:rFonts w:asciiTheme="majorHAnsi" w:hAnsiTheme="majorHAnsi"/>
          <w:b/>
          <w:color w:val="003366"/>
          <w:sz w:val="52"/>
          <w:szCs w:val="52"/>
        </w:rPr>
        <w:t>Log gross discrete return</w:t>
      </w:r>
      <w:r>
        <w:rPr>
          <w:rFonts w:asciiTheme="majorHAnsi" w:hAnsiTheme="majorHAnsi"/>
          <w:color w:val="003366"/>
          <w:sz w:val="52"/>
          <w:szCs w:val="52"/>
        </w:rPr>
        <w:t xml:space="preserve">, also called the continuously compounded return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 w:rsidR="006275ED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or force of interest</w:t>
      </w:r>
      <w:r w:rsidR="006275ED">
        <w:rPr>
          <w:rFonts w:asciiTheme="majorHAnsi" w:hAnsiTheme="majorHAnsi"/>
          <w:color w:val="003366"/>
          <w:sz w:val="52"/>
          <w:szCs w:val="52"/>
        </w:rPr>
        <w:t xml:space="preserve"> (</w:t>
      </w:r>
      <w:r>
        <w:rPr>
          <w:rFonts w:asciiTheme="majorHAnsi" w:hAnsiTheme="majorHAnsi"/>
          <w:color w:val="003366"/>
          <w:sz w:val="52"/>
          <w:szCs w:val="52"/>
        </w:rPr>
        <w:t>y</w:t>
      </w:r>
      <w:r w:rsidR="006275ED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ln</m:t>
          </m:r>
          <m:r>
            <w:rPr>
              <w:rFonts w:ascii="Cambria Math" w:hAnsi="Cambria Math"/>
              <w:color w:val="003366"/>
              <w:sz w:val="52"/>
              <w:szCs w:val="52"/>
            </w:rPr>
            <m:t>(GD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)</m:t>
          </m:r>
        </m:oMath>
      </m:oMathPara>
    </w:p>
    <w:p w:rsidR="00EC3BDD" w:rsidRPr="00F85C1A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Geometric and Arithmetic Averages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F64EB">
        <w:rPr>
          <w:rFonts w:asciiTheme="majorHAnsi" w:hAnsiTheme="majorHAnsi"/>
          <w:b/>
          <w:color w:val="003366"/>
          <w:sz w:val="52"/>
          <w:szCs w:val="52"/>
        </w:rPr>
        <w:t xml:space="preserve">Arithmetic </w:t>
      </w:r>
      <w:r w:rsidRPr="000B4587">
        <w:rPr>
          <w:rFonts w:asciiTheme="majorHAnsi" w:hAnsiTheme="majorHAnsi"/>
          <w:color w:val="003366"/>
          <w:sz w:val="52"/>
          <w:szCs w:val="52"/>
        </w:rPr>
        <w:t>average over T periods:</w:t>
      </w:r>
    </w:p>
    <w:p w:rsidR="00EC3BDD" w:rsidRPr="006562D3" w:rsidRDefault="00DE6EA5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arithmetic average, 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t=1</m:t>
                  </m:r>
                </m:sub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t-1→t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0→1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1→2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2→3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T-1→T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</m:oMath>
      </m:oMathPara>
    </w:p>
    <w:p w:rsidR="00EC3BDD" w:rsidRPr="006562D3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F64EB">
        <w:rPr>
          <w:rFonts w:asciiTheme="majorHAnsi" w:hAnsiTheme="majorHAnsi"/>
          <w:b/>
          <w:color w:val="003366"/>
          <w:sz w:val="52"/>
          <w:szCs w:val="52"/>
        </w:rPr>
        <w:t xml:space="preserve">Geometric </w:t>
      </w:r>
      <w:r w:rsidRPr="000B4587">
        <w:rPr>
          <w:rFonts w:asciiTheme="majorHAnsi" w:hAnsiTheme="majorHAnsi"/>
          <w:color w:val="003366"/>
          <w:sz w:val="52"/>
          <w:szCs w:val="52"/>
        </w:rPr>
        <w:t>average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 w:rsidRPr="000B4587">
        <w:rPr>
          <w:rFonts w:asciiTheme="majorHAnsi" w:hAnsiTheme="majorHAnsi"/>
          <w:color w:val="003366"/>
          <w:sz w:val="52"/>
          <w:szCs w:val="52"/>
        </w:rPr>
        <w:t>over T periods:</w:t>
      </w:r>
    </w:p>
    <w:p w:rsidR="00EC3BDD" w:rsidRPr="006562D3" w:rsidRDefault="00DE6EA5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geometric average, 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t-1→t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0→1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1→2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2→3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…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T-1→T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 xml:space="preserve"> 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1D1666" w:rsidRPr="00F85C1A" w:rsidRDefault="001D1666" w:rsidP="001D166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Geometric and Arithmetic Average Returns</w:t>
      </w:r>
    </w:p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0BE4">
        <w:rPr>
          <w:rFonts w:asciiTheme="majorHAnsi" w:hAnsiTheme="majorHAnsi"/>
          <w:color w:val="003366"/>
          <w:sz w:val="52"/>
          <w:szCs w:val="52"/>
        </w:rPr>
        <w:t>Two types of average (also called mean):</w:t>
      </w:r>
    </w:p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0BE4">
        <w:rPr>
          <w:rFonts w:asciiTheme="majorHAnsi" w:hAnsiTheme="majorHAnsi"/>
          <w:color w:val="003366"/>
          <w:sz w:val="52"/>
          <w:szCs w:val="52"/>
        </w:rPr>
        <w:t xml:space="preserve">Arithmetic average </w:t>
      </w:r>
      <w:r w:rsidR="00F71722">
        <w:rPr>
          <w:rFonts w:asciiTheme="majorHAnsi" w:hAnsiTheme="majorHAnsi"/>
          <w:color w:val="003366"/>
          <w:sz w:val="52"/>
          <w:szCs w:val="52"/>
        </w:rPr>
        <w:t xml:space="preserve">net discrete </w:t>
      </w:r>
      <w:r w:rsidRPr="00200BE4">
        <w:rPr>
          <w:rFonts w:asciiTheme="majorHAnsi" w:hAnsiTheme="majorHAnsi"/>
          <w:color w:val="003366"/>
          <w:sz w:val="52"/>
          <w:szCs w:val="52"/>
        </w:rPr>
        <w:t xml:space="preserve">return </w:t>
      </w:r>
      <w:r w:rsidR="00F71722">
        <w:rPr>
          <w:rFonts w:asciiTheme="majorHAnsi" w:hAnsiTheme="majorHAnsi"/>
          <w:color w:val="003366"/>
          <w:sz w:val="52"/>
          <w:szCs w:val="52"/>
        </w:rPr>
        <w:t xml:space="preserve">(NDR) </w:t>
      </w:r>
      <w:r w:rsidRPr="00200BE4">
        <w:rPr>
          <w:rFonts w:asciiTheme="majorHAnsi" w:hAnsiTheme="majorHAnsi"/>
          <w:color w:val="003366"/>
          <w:sz w:val="52"/>
          <w:szCs w:val="52"/>
        </w:rPr>
        <w:t xml:space="preserve">from time </w:t>
      </w:r>
      <m:oMath>
        <m:r>
          <w:rPr>
            <w:rFonts w:ascii="Cambria Math" w:hAnsi="Cambria Math"/>
            <w:color w:val="003366"/>
            <w:sz w:val="52"/>
            <w:szCs w:val="52"/>
          </w:rPr>
          <m:t>0</m:t>
        </m:r>
      </m:oMath>
      <w:r w:rsidRPr="00200BE4">
        <w:rPr>
          <w:rFonts w:asciiTheme="majorHAnsi" w:hAnsiTheme="majorHAnsi"/>
          <w:color w:val="003366"/>
          <w:sz w:val="52"/>
          <w:szCs w:val="52"/>
        </w:rPr>
        <w:t xml:space="preserve"> to </w:t>
      </w:r>
      <m:oMath>
        <m:r>
          <w:rPr>
            <w:rFonts w:ascii="Cambria Math" w:hAnsi="Cambria Math"/>
            <w:color w:val="003366"/>
            <w:sz w:val="52"/>
            <w:szCs w:val="52"/>
          </w:rPr>
          <m:t>n</m:t>
        </m:r>
      </m:oMath>
      <w:r w:rsidRPr="00200BE4">
        <w:rPr>
          <w:rFonts w:asciiTheme="majorHAnsi" w:hAnsiTheme="majorHAnsi"/>
          <w:color w:val="003366"/>
          <w:sz w:val="52"/>
          <w:szCs w:val="52"/>
        </w:rPr>
        <w:t>:</w:t>
      </w:r>
    </w:p>
    <w:p w:rsidR="00200BE4" w:rsidRPr="00200BE4" w:rsidRDefault="00DE6EA5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arithm NDR 0-n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den>
          </m:f>
        </m:oMath>
      </m:oMathPara>
    </w:p>
    <w:p w:rsidR="00200BE4" w:rsidRPr="00200BE4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</w:p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0BE4">
        <w:rPr>
          <w:rFonts w:asciiTheme="majorHAnsi" w:hAnsiTheme="majorHAnsi"/>
          <w:color w:val="003366"/>
          <w:sz w:val="52"/>
          <w:szCs w:val="52"/>
        </w:rPr>
        <w:t xml:space="preserve">Geometric average </w:t>
      </w:r>
      <w:r w:rsidR="00F71722">
        <w:rPr>
          <w:rFonts w:asciiTheme="majorHAnsi" w:hAnsiTheme="majorHAnsi"/>
          <w:color w:val="003366"/>
          <w:sz w:val="52"/>
          <w:szCs w:val="52"/>
        </w:rPr>
        <w:t xml:space="preserve">net discrete </w:t>
      </w:r>
      <w:r w:rsidR="00F71722" w:rsidRPr="00200BE4">
        <w:rPr>
          <w:rFonts w:asciiTheme="majorHAnsi" w:hAnsiTheme="majorHAnsi"/>
          <w:color w:val="003366"/>
          <w:sz w:val="52"/>
          <w:szCs w:val="52"/>
        </w:rPr>
        <w:t xml:space="preserve">return </w:t>
      </w:r>
      <w:r w:rsidR="00F71722">
        <w:rPr>
          <w:rFonts w:asciiTheme="majorHAnsi" w:hAnsiTheme="majorHAnsi"/>
          <w:color w:val="003366"/>
          <w:sz w:val="52"/>
          <w:szCs w:val="52"/>
        </w:rPr>
        <w:t xml:space="preserve">(NDR) </w:t>
      </w:r>
      <w:r w:rsidRPr="00200BE4">
        <w:rPr>
          <w:rFonts w:asciiTheme="majorHAnsi" w:hAnsiTheme="majorHAnsi"/>
          <w:color w:val="003366"/>
          <w:sz w:val="52"/>
          <w:szCs w:val="52"/>
        </w:rPr>
        <w:t xml:space="preserve">from time </w:t>
      </w:r>
      <m:oMath>
        <m:r>
          <w:rPr>
            <w:rFonts w:ascii="Cambria Math" w:hAnsi="Cambria Math"/>
            <w:color w:val="003366"/>
            <w:sz w:val="52"/>
            <w:szCs w:val="52"/>
          </w:rPr>
          <m:t>0</m:t>
        </m:r>
      </m:oMath>
      <w:r w:rsidRPr="00200BE4">
        <w:rPr>
          <w:rFonts w:asciiTheme="majorHAnsi" w:hAnsiTheme="majorHAnsi"/>
          <w:color w:val="003366"/>
          <w:sz w:val="52"/>
          <w:szCs w:val="52"/>
        </w:rPr>
        <w:t xml:space="preserve"> to </w:t>
      </w:r>
      <m:oMath>
        <m:r>
          <w:rPr>
            <w:rFonts w:ascii="Cambria Math" w:hAnsi="Cambria Math"/>
            <w:color w:val="003366"/>
            <w:sz w:val="52"/>
            <w:szCs w:val="52"/>
          </w:rPr>
          <m:t>n</m:t>
        </m:r>
      </m:oMath>
      <w:r w:rsidRPr="00200BE4">
        <w:rPr>
          <w:rFonts w:asciiTheme="majorHAnsi" w:hAnsiTheme="majorHAnsi"/>
          <w:color w:val="003366"/>
          <w:sz w:val="52"/>
          <w:szCs w:val="52"/>
        </w:rPr>
        <w:t>:</w:t>
      </w:r>
    </w:p>
    <w:p w:rsidR="00200BE4" w:rsidRPr="00200BE4" w:rsidRDefault="00DE6EA5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geom NDR 0-n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…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1/n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1/n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200BE4" w:rsidRDefault="00200BE4" w:rsidP="00200BE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Average Returns – A Curious 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2552"/>
        <w:gridCol w:w="2693"/>
        <w:gridCol w:w="2442"/>
      </w:tblGrid>
      <w:tr w:rsidR="00200BE4" w:rsidRPr="00200BE4" w:rsidTr="00200BE4">
        <w:tc>
          <w:tcPr>
            <w:tcW w:w="6487" w:type="dxa"/>
          </w:tcPr>
          <w:p w:rsidR="00200BE4" w:rsidRPr="00200BE4" w:rsidRDefault="00200BE4" w:rsidP="00682577">
            <w:pPr>
              <w:spacing w:after="200" w:line="276" w:lineRule="auto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Time (year)</w:t>
            </w:r>
          </w:p>
        </w:tc>
        <w:tc>
          <w:tcPr>
            <w:tcW w:w="2552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0</w:t>
            </w:r>
          </w:p>
        </w:tc>
        <w:tc>
          <w:tcPr>
            <w:tcW w:w="2693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1</w:t>
            </w:r>
          </w:p>
        </w:tc>
        <w:tc>
          <w:tcPr>
            <w:tcW w:w="2442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2</w:t>
            </w:r>
          </w:p>
        </w:tc>
      </w:tr>
      <w:tr w:rsidR="00200BE4" w:rsidRPr="00200BE4" w:rsidTr="00200BE4">
        <w:tc>
          <w:tcPr>
            <w:tcW w:w="6487" w:type="dxa"/>
          </w:tcPr>
          <w:p w:rsidR="00200BE4" w:rsidRPr="00200BE4" w:rsidRDefault="00807578" w:rsidP="00807578">
            <w:pPr>
              <w:spacing w:after="200" w:line="276" w:lineRule="auto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Share p</w:t>
            </w:r>
            <w:r w:rsidR="00200BE4" w:rsidRPr="00200BE4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rice ($)</w:t>
            </w:r>
          </w:p>
        </w:tc>
        <w:tc>
          <w:tcPr>
            <w:tcW w:w="2552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color w:val="003366"/>
                <w:sz w:val="52"/>
                <w:szCs w:val="52"/>
              </w:rPr>
              <w:t>100</w:t>
            </w:r>
          </w:p>
        </w:tc>
        <w:tc>
          <w:tcPr>
            <w:tcW w:w="2693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color w:val="003366"/>
                <w:sz w:val="52"/>
                <w:szCs w:val="52"/>
              </w:rPr>
              <w:t>50</w:t>
            </w:r>
          </w:p>
        </w:tc>
        <w:tc>
          <w:tcPr>
            <w:tcW w:w="2442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color w:val="003366"/>
                <w:sz w:val="52"/>
                <w:szCs w:val="52"/>
              </w:rPr>
              <w:t>100</w:t>
            </w:r>
          </w:p>
        </w:tc>
      </w:tr>
      <w:tr w:rsidR="00200BE4" w:rsidRPr="00200BE4" w:rsidTr="00200BE4">
        <w:tc>
          <w:tcPr>
            <w:tcW w:w="6487" w:type="dxa"/>
          </w:tcPr>
          <w:p w:rsidR="00200BE4" w:rsidRPr="00200BE4" w:rsidRDefault="00200BE4" w:rsidP="00200BE4">
            <w:pPr>
              <w:spacing w:after="200" w:line="276" w:lineRule="auto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Net d</w:t>
            </w:r>
            <w:r w:rsidRPr="00200BE4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iscrete return</w:t>
            </w:r>
            <w:r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 xml:space="preserve"> pa</w:t>
            </w:r>
          </w:p>
        </w:tc>
        <w:tc>
          <w:tcPr>
            <w:tcW w:w="2552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2693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color w:val="003366"/>
                <w:sz w:val="52"/>
                <w:szCs w:val="52"/>
              </w:rPr>
              <w:t>-0.5</w:t>
            </w:r>
          </w:p>
        </w:tc>
        <w:tc>
          <w:tcPr>
            <w:tcW w:w="2442" w:type="dxa"/>
          </w:tcPr>
          <w:p w:rsidR="00200BE4" w:rsidRPr="00200BE4" w:rsidRDefault="00200BE4" w:rsidP="00682577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200BE4">
              <w:rPr>
                <w:rFonts w:asciiTheme="majorHAnsi" w:hAnsiTheme="majorHAnsi"/>
                <w:color w:val="003366"/>
                <w:sz w:val="52"/>
                <w:szCs w:val="52"/>
              </w:rPr>
              <w:t>1.0</w:t>
            </w:r>
          </w:p>
        </w:tc>
      </w:tr>
    </w:tbl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0BE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4E4212E9" wp14:editId="57DC4BEF">
            <wp:simplePos x="0" y="0"/>
            <wp:positionH relativeFrom="column">
              <wp:posOffset>5234940</wp:posOffset>
            </wp:positionH>
            <wp:positionV relativeFrom="paragraph">
              <wp:posOffset>400050</wp:posOffset>
            </wp:positionV>
            <wp:extent cx="3754120" cy="3026410"/>
            <wp:effectExtent l="19050" t="0" r="0" b="0"/>
            <wp:wrapSquare wrapText="bothSides"/>
            <wp:docPr id="21" name="Picture 13" descr="C:\Users\Keith\Documents\Tutoring\SecurityPricingAndHedging\path4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eith\Documents\Tutoring\SecurityPricingAndHedging\path424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0BE4">
        <w:rPr>
          <w:rFonts w:asciiTheme="majorHAnsi" w:hAnsiTheme="majorHAnsi"/>
          <w:color w:val="003366"/>
          <w:sz w:val="52"/>
          <w:szCs w:val="52"/>
        </w:rPr>
        <w:t xml:space="preserve">Note that we will express all returns as pure decimals, not %, unless marked as so. </w:t>
      </w:r>
    </w:p>
    <w:p w:rsidR="00200BE4" w:rsidRPr="00200BE4" w:rsidRDefault="00200BE4" w:rsidP="00200B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0BE4">
        <w:rPr>
          <w:rFonts w:asciiTheme="majorHAnsi" w:hAnsiTheme="majorHAnsi"/>
          <w:color w:val="003366"/>
          <w:sz w:val="52"/>
          <w:szCs w:val="52"/>
        </w:rPr>
        <w:t>Similarly for standard deviation and variance.</w:t>
      </w:r>
    </w:p>
    <w:p w:rsidR="00200BE4" w:rsidRPr="00200BE4" w:rsidRDefault="00DE6EA5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geom NDR 0-2,p.a.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…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1/n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200BE4" w:rsidRPr="00200BE4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0-1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(1+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1-2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)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1/2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200BE4" w:rsidRPr="00200BE4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1+-0.5</m:t>
                      </m:r>
                    </m:e>
                  </m:d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(1+1)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1/2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200BE4" w:rsidRPr="00200BE4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=0</m:t>
          </m:r>
        </m:oMath>
      </m:oMathPara>
    </w:p>
    <w:p w:rsidR="00200BE4" w:rsidRPr="00200BE4" w:rsidRDefault="00DE6EA5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arithm NDR 0-2,p.a.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den>
          </m:f>
        </m:oMath>
      </m:oMathPara>
    </w:p>
    <w:p w:rsidR="00200BE4" w:rsidRPr="00200BE4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0-1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1-2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den>
          </m:f>
        </m:oMath>
      </m:oMathPara>
    </w:p>
    <w:p w:rsidR="00200BE4" w:rsidRPr="00200BE4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-0.5+1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den>
          </m:f>
        </m:oMath>
      </m:oMathPara>
    </w:p>
    <w:p w:rsidR="00200BE4" w:rsidRPr="00200BE4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=0.25</m:t>
          </m:r>
        </m:oMath>
      </m:oMathPara>
    </w:p>
    <w:p w:rsidR="00682577" w:rsidRDefault="00200BE4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w:r w:rsidRPr="00200BE4">
        <w:rPr>
          <w:rFonts w:asciiTheme="majorHAnsi" w:hAnsiTheme="majorHAnsi"/>
          <w:color w:val="003366"/>
          <w:sz w:val="52"/>
          <w:szCs w:val="52"/>
        </w:rPr>
        <w:t xml:space="preserve">Which average return tells the true story? </w:t>
      </w:r>
    </w:p>
    <w:p w:rsidR="00682577" w:rsidRDefault="0068257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682577" w:rsidRDefault="00807578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If </w:t>
      </w:r>
      <w:r w:rsidR="00B74F84">
        <w:rPr>
          <w:rFonts w:asciiTheme="majorHAnsi" w:hAnsiTheme="majorHAnsi"/>
          <w:color w:val="003366"/>
          <w:sz w:val="52"/>
          <w:szCs w:val="52"/>
        </w:rPr>
        <w:t>an</w:t>
      </w:r>
      <w:r>
        <w:rPr>
          <w:rFonts w:asciiTheme="majorHAnsi" w:hAnsiTheme="majorHAnsi"/>
          <w:color w:val="003366"/>
          <w:sz w:val="52"/>
          <w:szCs w:val="52"/>
        </w:rPr>
        <w:t xml:space="preserve"> investor </w:t>
      </w:r>
      <w:r w:rsidR="00B74F84">
        <w:rPr>
          <w:rFonts w:asciiTheme="majorHAnsi" w:hAnsiTheme="majorHAnsi"/>
          <w:color w:val="003366"/>
          <w:sz w:val="52"/>
          <w:szCs w:val="52"/>
        </w:rPr>
        <w:t>wants to buy</w:t>
      </w:r>
      <w:r>
        <w:rPr>
          <w:rFonts w:asciiTheme="majorHAnsi" w:hAnsiTheme="majorHAnsi"/>
          <w:color w:val="003366"/>
          <w:sz w:val="52"/>
          <w:szCs w:val="52"/>
        </w:rPr>
        <w:t xml:space="preserve"> the share at time zero and </w:t>
      </w:r>
      <w:r w:rsidR="00B74F84">
        <w:rPr>
          <w:rFonts w:asciiTheme="majorHAnsi" w:hAnsiTheme="majorHAnsi"/>
          <w:color w:val="003366"/>
          <w:sz w:val="52"/>
          <w:szCs w:val="52"/>
        </w:rPr>
        <w:t>sell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B74F84">
        <w:rPr>
          <w:rFonts w:asciiTheme="majorHAnsi" w:hAnsiTheme="majorHAnsi"/>
          <w:color w:val="003366"/>
          <w:sz w:val="52"/>
          <w:szCs w:val="52"/>
        </w:rPr>
        <w:t>i</w:t>
      </w:r>
      <w:r>
        <w:rPr>
          <w:rFonts w:asciiTheme="majorHAnsi" w:hAnsiTheme="majorHAnsi"/>
          <w:color w:val="003366"/>
          <w:sz w:val="52"/>
          <w:szCs w:val="52"/>
        </w:rPr>
        <w:t xml:space="preserve">t </w:t>
      </w:r>
      <w:r w:rsidR="00B74F84">
        <w:rPr>
          <w:rFonts w:asciiTheme="majorHAnsi" w:hAnsiTheme="majorHAnsi"/>
          <w:color w:val="003366"/>
          <w:sz w:val="52"/>
          <w:szCs w:val="52"/>
        </w:rPr>
        <w:t>two years later</w:t>
      </w:r>
      <w:r>
        <w:rPr>
          <w:rFonts w:asciiTheme="majorHAnsi" w:hAnsiTheme="majorHAnsi"/>
          <w:color w:val="003366"/>
          <w:sz w:val="52"/>
          <w:szCs w:val="52"/>
        </w:rPr>
        <w:t xml:space="preserve">, then the geometric average </w:t>
      </w:r>
      <w:r w:rsidR="00B74F84">
        <w:rPr>
          <w:rFonts w:asciiTheme="majorHAnsi" w:hAnsiTheme="majorHAnsi"/>
          <w:color w:val="003366"/>
          <w:sz w:val="52"/>
          <w:szCs w:val="52"/>
        </w:rPr>
        <w:t xml:space="preserve">return </w:t>
      </w:r>
      <w:r>
        <w:rPr>
          <w:rFonts w:asciiTheme="majorHAnsi" w:hAnsiTheme="majorHAnsi"/>
          <w:color w:val="003366"/>
          <w:sz w:val="52"/>
          <w:szCs w:val="52"/>
        </w:rPr>
        <w:t>makes more sense</w:t>
      </w:r>
      <w:r w:rsidR="00B74F84">
        <w:rPr>
          <w:rFonts w:asciiTheme="majorHAnsi" w:hAnsiTheme="majorHAnsi"/>
          <w:color w:val="003366"/>
          <w:sz w:val="52"/>
          <w:szCs w:val="52"/>
        </w:rPr>
        <w:t xml:space="preserve"> since it takes compounding into account over time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200BE4" w:rsidRDefault="00126340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the investor wa</w:t>
      </w:r>
      <w:r w:rsidR="00682577">
        <w:rPr>
          <w:rFonts w:asciiTheme="majorHAnsi" w:hAnsiTheme="majorHAnsi"/>
          <w:color w:val="003366"/>
          <w:sz w:val="52"/>
          <w:szCs w:val="52"/>
        </w:rPr>
        <w:t>nt</w:t>
      </w:r>
      <w:r w:rsidR="00B74F84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to buy for one year and sell a year later, </w:t>
      </w:r>
      <w:r w:rsidR="00682577">
        <w:rPr>
          <w:rFonts w:asciiTheme="majorHAnsi" w:hAnsiTheme="majorHAnsi"/>
          <w:color w:val="003366"/>
          <w:sz w:val="52"/>
          <w:szCs w:val="52"/>
        </w:rPr>
        <w:t xml:space="preserve">so there’s a </w:t>
      </w:r>
      <w:r w:rsidR="00B74F84">
        <w:rPr>
          <w:rFonts w:asciiTheme="majorHAnsi" w:hAnsiTheme="majorHAnsi"/>
          <w:color w:val="003366"/>
          <w:sz w:val="52"/>
          <w:szCs w:val="52"/>
        </w:rPr>
        <w:t>1/2</w:t>
      </w:r>
      <w:r w:rsidR="00682577">
        <w:rPr>
          <w:rFonts w:asciiTheme="majorHAnsi" w:hAnsiTheme="majorHAnsi"/>
          <w:color w:val="003366"/>
          <w:sz w:val="52"/>
          <w:szCs w:val="52"/>
        </w:rPr>
        <w:t xml:space="preserve"> probability of losing 50% and a </w:t>
      </w:r>
      <w:r w:rsidR="00B74F84">
        <w:rPr>
          <w:rFonts w:asciiTheme="majorHAnsi" w:hAnsiTheme="majorHAnsi"/>
          <w:color w:val="003366"/>
          <w:sz w:val="52"/>
          <w:szCs w:val="52"/>
        </w:rPr>
        <w:t>1/2</w:t>
      </w:r>
      <w:r w:rsidR="00682577">
        <w:rPr>
          <w:rFonts w:asciiTheme="majorHAnsi" w:hAnsiTheme="majorHAnsi"/>
          <w:color w:val="003366"/>
          <w:sz w:val="52"/>
          <w:szCs w:val="52"/>
        </w:rPr>
        <w:t xml:space="preserve"> probability of gaining 100% </w:t>
      </w:r>
      <w:r>
        <w:rPr>
          <w:rFonts w:asciiTheme="majorHAnsi" w:hAnsiTheme="majorHAnsi"/>
          <w:color w:val="003366"/>
          <w:sz w:val="52"/>
          <w:szCs w:val="52"/>
        </w:rPr>
        <w:t>then the arithmetic average is arguably better.</w:t>
      </w:r>
      <w:r w:rsidR="00682577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126340" w:rsidRDefault="00126340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</w:p>
    <w:p w:rsidR="00397947" w:rsidRDefault="00397947" w:rsidP="00200BE4">
      <w:pPr>
        <w:spacing w:after="1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In finance we frequently use</w:t>
      </w:r>
      <w:r w:rsidR="00126340">
        <w:rPr>
          <w:rFonts w:asciiTheme="majorHAnsi" w:hAnsiTheme="majorHAnsi"/>
          <w:color w:val="003366"/>
          <w:sz w:val="52"/>
          <w:szCs w:val="52"/>
        </w:rPr>
        <w:t xml:space="preserve"> both types of averages. </w:t>
      </w:r>
    </w:p>
    <w:p w:rsidR="00126340" w:rsidRPr="001F0551" w:rsidRDefault="00397947" w:rsidP="001F0551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color w:val="003366"/>
          <w:sz w:val="52"/>
          <w:szCs w:val="52"/>
        </w:rPr>
      </w:pPr>
      <w:r w:rsidRPr="001F0551">
        <w:rPr>
          <w:rFonts w:asciiTheme="majorHAnsi" w:hAnsiTheme="majorHAnsi"/>
          <w:color w:val="003366"/>
          <w:sz w:val="52"/>
          <w:szCs w:val="52"/>
        </w:rPr>
        <w:t>A</w:t>
      </w:r>
      <w:r w:rsidR="00126340" w:rsidRPr="001F0551">
        <w:rPr>
          <w:rFonts w:asciiTheme="majorHAnsi" w:hAnsiTheme="majorHAnsi"/>
          <w:color w:val="003366"/>
          <w:sz w:val="52"/>
          <w:szCs w:val="52"/>
        </w:rPr>
        <w:t xml:space="preserve">rithmetic average </w:t>
      </w:r>
      <w:r w:rsidR="00887D24" w:rsidRPr="001F0551">
        <w:rPr>
          <w:rFonts w:asciiTheme="majorHAnsi" w:hAnsiTheme="majorHAnsi"/>
          <w:color w:val="003366"/>
          <w:sz w:val="52"/>
          <w:szCs w:val="52"/>
        </w:rPr>
        <w:t xml:space="preserve">returns </w:t>
      </w:r>
      <w:r w:rsidRPr="001F0551">
        <w:rPr>
          <w:rFonts w:asciiTheme="majorHAnsi" w:hAnsiTheme="majorHAnsi"/>
          <w:color w:val="003366"/>
          <w:sz w:val="52"/>
          <w:szCs w:val="52"/>
        </w:rPr>
        <w:t>are often used in Markowitz mean-variance portfolio analysis to find stocks’ average returns from past data</w:t>
      </w:r>
      <w:r w:rsidR="00126340" w:rsidRPr="001F0551">
        <w:rPr>
          <w:rFonts w:asciiTheme="majorHAnsi" w:hAnsiTheme="majorHAnsi"/>
          <w:color w:val="003366"/>
          <w:sz w:val="52"/>
          <w:szCs w:val="52"/>
        </w:rPr>
        <w:t>.</w:t>
      </w:r>
      <w:r w:rsidR="00887D24" w:rsidRPr="001F0551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887D24" w:rsidRPr="001F0551" w:rsidRDefault="00397947" w:rsidP="001F0551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color w:val="003366"/>
          <w:sz w:val="52"/>
          <w:szCs w:val="52"/>
        </w:rPr>
      </w:pPr>
      <w:r w:rsidRPr="001F0551">
        <w:rPr>
          <w:rFonts w:asciiTheme="majorHAnsi" w:hAnsiTheme="majorHAnsi"/>
          <w:color w:val="003366"/>
          <w:sz w:val="52"/>
          <w:szCs w:val="52"/>
        </w:rPr>
        <w:t xml:space="preserve">Geometric averages are often used in the debt markets for computing </w:t>
      </w:r>
      <w:r w:rsidR="00887D24" w:rsidRPr="001F0551">
        <w:rPr>
          <w:rFonts w:asciiTheme="majorHAnsi" w:hAnsiTheme="majorHAnsi"/>
          <w:color w:val="003366"/>
          <w:sz w:val="52"/>
          <w:szCs w:val="52"/>
        </w:rPr>
        <w:t>the t</w:t>
      </w:r>
      <w:r w:rsidRPr="001F0551">
        <w:rPr>
          <w:rFonts w:asciiTheme="majorHAnsi" w:hAnsiTheme="majorHAnsi"/>
          <w:color w:val="003366"/>
          <w:sz w:val="52"/>
          <w:szCs w:val="52"/>
        </w:rPr>
        <w:t>erm structure of interest rates. N</w:t>
      </w:r>
      <w:r w:rsidR="00255424" w:rsidRPr="001F0551">
        <w:rPr>
          <w:rFonts w:asciiTheme="majorHAnsi" w:hAnsiTheme="majorHAnsi"/>
          <w:color w:val="003366"/>
          <w:sz w:val="52"/>
          <w:szCs w:val="52"/>
        </w:rPr>
        <w:t xml:space="preserve">otice that the quantity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r>
          <w:rPr>
            <w:rFonts w:ascii="Cambria Math" w:hAnsi="Cambria Math"/>
            <w:color w:val="003366"/>
            <w:sz w:val="50"/>
            <w:szCs w:val="50"/>
          </w:rPr>
          <m:t>1+</m:t>
        </m:r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0→1 eff</m:t>
            </m:r>
          </m:sub>
        </m:sSub>
        <m:r>
          <w:rPr>
            <w:rFonts w:ascii="Cambria Math" w:hAnsi="Cambria Math"/>
            <w:color w:val="003366"/>
            <w:sz w:val="50"/>
            <w:szCs w:val="50"/>
          </w:rPr>
          <m:t>)</m:t>
        </m:r>
      </m:oMath>
      <w:r w:rsidR="00255424" w:rsidRPr="001F0551">
        <w:rPr>
          <w:rFonts w:asciiTheme="majorHAnsi" w:hAnsiTheme="majorHAnsi"/>
          <w:color w:val="003366"/>
          <w:sz w:val="50"/>
          <w:szCs w:val="50"/>
        </w:rPr>
        <w:t xml:space="preserve"> is the gross discrete return (GDR).</w:t>
      </w:r>
    </w:p>
    <w:p w:rsidR="00807578" w:rsidRDefault="00807578" w:rsidP="0080757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8B607F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Term Structure of Interest Rates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: The </w:t>
      </w:r>
      <w:r w:rsidRPr="008B607F">
        <w:rPr>
          <w:rFonts w:asciiTheme="majorHAnsi" w:hAnsiTheme="majorHAnsi"/>
          <w:b/>
          <w:i/>
          <w:color w:val="800000"/>
          <w:sz w:val="72"/>
          <w:szCs w:val="72"/>
        </w:rPr>
        <w:t xml:space="preserve">Expectations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Hypothesis</w:t>
      </w:r>
    </w:p>
    <w:p w:rsidR="00807578" w:rsidRDefault="00807578" w:rsidP="0080757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Expectations hypothesis is that long term spot rates (plus one) are the geometric average of the shorter term spot and forward rates (plus one) over the same time period. Mathematically:</w:t>
      </w:r>
    </w:p>
    <w:p w:rsidR="00807578" w:rsidRDefault="00807578" w:rsidP="0080757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0→T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0→1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1→2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2→3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...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r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T-1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→T</m:t>
                          </m:r>
                        </m:sub>
                      </m:sSub>
                    </m:e>
                  </m:d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T</m:t>
                  </m:r>
                </m:den>
              </m:f>
            </m:sup>
          </m:sSup>
        </m:oMath>
      </m:oMathPara>
    </w:p>
    <w:p w:rsidR="00807578" w:rsidRDefault="00807578" w:rsidP="00807578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>or</w:t>
      </w:r>
    </w:p>
    <w:p w:rsidR="00807578" w:rsidRDefault="00DE6EA5" w:rsidP="00807578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0→T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0→1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1→2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2→3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0"/>
              <w:szCs w:val="50"/>
            </w:rPr>
            <m:t>…(1+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T-1</m:t>
                  </m:r>
                </m:e>
              </m:d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→T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)</m:t>
          </m:r>
        </m:oMath>
      </m:oMathPara>
    </w:p>
    <w:p w:rsidR="00C2019D" w:rsidRDefault="00807578" w:rsidP="00C2019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Where T is the number of periods and all rates are </w:t>
      </w:r>
      <w:r w:rsidRPr="00255424">
        <w:rPr>
          <w:rFonts w:asciiTheme="majorHAnsi" w:hAnsiTheme="majorHAnsi"/>
          <w:b/>
          <w:color w:val="003366"/>
          <w:sz w:val="52"/>
          <w:szCs w:val="52"/>
        </w:rPr>
        <w:t>effective</w:t>
      </w:r>
      <w:r>
        <w:rPr>
          <w:rFonts w:asciiTheme="majorHAnsi" w:hAnsiTheme="majorHAnsi"/>
          <w:color w:val="003366"/>
          <w:sz w:val="52"/>
          <w:szCs w:val="52"/>
        </w:rPr>
        <w:t xml:space="preserve"> rates over each period. </w:t>
      </w:r>
    </w:p>
    <w:sectPr w:rsidR="00C2019D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EA5" w:rsidRDefault="00DE6EA5" w:rsidP="00A656FD">
      <w:r>
        <w:separator/>
      </w:r>
    </w:p>
  </w:endnote>
  <w:endnote w:type="continuationSeparator" w:id="0">
    <w:p w:rsidR="00DE6EA5" w:rsidRDefault="00DE6EA5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7B6B57" w:rsidRPr="00A656FD" w:rsidRDefault="007B6B57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B33D16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7B6B57" w:rsidRPr="00A656FD" w:rsidRDefault="007B6B57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EA5" w:rsidRDefault="00DE6EA5" w:rsidP="00A656FD">
      <w:r>
        <w:separator/>
      </w:r>
    </w:p>
  </w:footnote>
  <w:footnote w:type="continuationSeparator" w:id="0">
    <w:p w:rsidR="00DE6EA5" w:rsidRDefault="00DE6EA5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7DD"/>
    <w:multiLevelType w:val="hybridMultilevel"/>
    <w:tmpl w:val="9E8E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2A71"/>
    <w:multiLevelType w:val="hybridMultilevel"/>
    <w:tmpl w:val="EBD25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1216A"/>
    <w:multiLevelType w:val="hybridMultilevel"/>
    <w:tmpl w:val="1972A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D742E"/>
    <w:multiLevelType w:val="hybridMultilevel"/>
    <w:tmpl w:val="95264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66D"/>
    <w:rsid w:val="00011B06"/>
    <w:rsid w:val="00011D5E"/>
    <w:rsid w:val="00012008"/>
    <w:rsid w:val="00012150"/>
    <w:rsid w:val="00012A5F"/>
    <w:rsid w:val="0001397A"/>
    <w:rsid w:val="00014C37"/>
    <w:rsid w:val="00016A26"/>
    <w:rsid w:val="000173F5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760"/>
    <w:rsid w:val="00025ACB"/>
    <w:rsid w:val="00025E5D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3CEB"/>
    <w:rsid w:val="000545A9"/>
    <w:rsid w:val="000548F8"/>
    <w:rsid w:val="000552CE"/>
    <w:rsid w:val="00055977"/>
    <w:rsid w:val="00056392"/>
    <w:rsid w:val="00056F0C"/>
    <w:rsid w:val="00057C20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67958"/>
    <w:rsid w:val="00070C6B"/>
    <w:rsid w:val="00072C38"/>
    <w:rsid w:val="00072E3B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09A2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284"/>
    <w:rsid w:val="000C6544"/>
    <w:rsid w:val="000C7111"/>
    <w:rsid w:val="000C719A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A4C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1981"/>
    <w:rsid w:val="000F23F6"/>
    <w:rsid w:val="000F3A27"/>
    <w:rsid w:val="000F3FDE"/>
    <w:rsid w:val="000F4264"/>
    <w:rsid w:val="000F59E2"/>
    <w:rsid w:val="000F66D4"/>
    <w:rsid w:val="000F739E"/>
    <w:rsid w:val="000F7A83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5F7D"/>
    <w:rsid w:val="001160B4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6340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2A3"/>
    <w:rsid w:val="00143363"/>
    <w:rsid w:val="00143417"/>
    <w:rsid w:val="00143F4D"/>
    <w:rsid w:val="00144233"/>
    <w:rsid w:val="00145892"/>
    <w:rsid w:val="00146AB3"/>
    <w:rsid w:val="00146C45"/>
    <w:rsid w:val="00147831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116"/>
    <w:rsid w:val="001767C6"/>
    <w:rsid w:val="001770CA"/>
    <w:rsid w:val="00177BE5"/>
    <w:rsid w:val="00177ED9"/>
    <w:rsid w:val="00180CCA"/>
    <w:rsid w:val="001813B4"/>
    <w:rsid w:val="00181858"/>
    <w:rsid w:val="001819C1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283A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66A6"/>
    <w:rsid w:val="001A7560"/>
    <w:rsid w:val="001B1DB8"/>
    <w:rsid w:val="001B3355"/>
    <w:rsid w:val="001B3D1F"/>
    <w:rsid w:val="001B59B9"/>
    <w:rsid w:val="001B619A"/>
    <w:rsid w:val="001B6F11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D1666"/>
    <w:rsid w:val="001D188D"/>
    <w:rsid w:val="001D2B54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551"/>
    <w:rsid w:val="001F0E50"/>
    <w:rsid w:val="001F167A"/>
    <w:rsid w:val="001F1EF0"/>
    <w:rsid w:val="001F201C"/>
    <w:rsid w:val="001F2CBF"/>
    <w:rsid w:val="001F3386"/>
    <w:rsid w:val="001F34E5"/>
    <w:rsid w:val="001F3964"/>
    <w:rsid w:val="001F3C5A"/>
    <w:rsid w:val="001F3C87"/>
    <w:rsid w:val="001F4534"/>
    <w:rsid w:val="001F57CB"/>
    <w:rsid w:val="001F6FFA"/>
    <w:rsid w:val="001F7328"/>
    <w:rsid w:val="00200BE4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17F5F"/>
    <w:rsid w:val="0022107C"/>
    <w:rsid w:val="0022173D"/>
    <w:rsid w:val="00221AA6"/>
    <w:rsid w:val="002229A7"/>
    <w:rsid w:val="00223C3C"/>
    <w:rsid w:val="00223CEC"/>
    <w:rsid w:val="00224738"/>
    <w:rsid w:val="002267AA"/>
    <w:rsid w:val="002268BA"/>
    <w:rsid w:val="00227163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55424"/>
    <w:rsid w:val="00256DE4"/>
    <w:rsid w:val="002617FA"/>
    <w:rsid w:val="00261C77"/>
    <w:rsid w:val="00262D42"/>
    <w:rsid w:val="002631EC"/>
    <w:rsid w:val="002640F0"/>
    <w:rsid w:val="002656AE"/>
    <w:rsid w:val="00266320"/>
    <w:rsid w:val="0026697E"/>
    <w:rsid w:val="00271DD0"/>
    <w:rsid w:val="002720A4"/>
    <w:rsid w:val="002725F1"/>
    <w:rsid w:val="00272B01"/>
    <w:rsid w:val="002730FB"/>
    <w:rsid w:val="002739C2"/>
    <w:rsid w:val="00274825"/>
    <w:rsid w:val="00274E73"/>
    <w:rsid w:val="002751D4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A9E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A33"/>
    <w:rsid w:val="002A5ED9"/>
    <w:rsid w:val="002A6229"/>
    <w:rsid w:val="002A6532"/>
    <w:rsid w:val="002B10E4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C7673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069C1"/>
    <w:rsid w:val="00310DFE"/>
    <w:rsid w:val="00310E29"/>
    <w:rsid w:val="00313B47"/>
    <w:rsid w:val="003141DD"/>
    <w:rsid w:val="00314BFA"/>
    <w:rsid w:val="00314DA9"/>
    <w:rsid w:val="0031635F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4E50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97947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8D6"/>
    <w:rsid w:val="003B4A83"/>
    <w:rsid w:val="003B57E9"/>
    <w:rsid w:val="003B5F9B"/>
    <w:rsid w:val="003B7779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48D8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91D"/>
    <w:rsid w:val="00430D54"/>
    <w:rsid w:val="004318DD"/>
    <w:rsid w:val="004330F5"/>
    <w:rsid w:val="00433BC1"/>
    <w:rsid w:val="004356DB"/>
    <w:rsid w:val="00435D08"/>
    <w:rsid w:val="00435EA6"/>
    <w:rsid w:val="00437073"/>
    <w:rsid w:val="00437415"/>
    <w:rsid w:val="00437D9C"/>
    <w:rsid w:val="004404E4"/>
    <w:rsid w:val="00442174"/>
    <w:rsid w:val="00442762"/>
    <w:rsid w:val="00443766"/>
    <w:rsid w:val="00444C1D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E98"/>
    <w:rsid w:val="004648FD"/>
    <w:rsid w:val="004649A5"/>
    <w:rsid w:val="00465272"/>
    <w:rsid w:val="0046751B"/>
    <w:rsid w:val="0047004E"/>
    <w:rsid w:val="0047200A"/>
    <w:rsid w:val="004728A9"/>
    <w:rsid w:val="0047407C"/>
    <w:rsid w:val="00474984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4F6A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A62FC"/>
    <w:rsid w:val="004B0075"/>
    <w:rsid w:val="004B0875"/>
    <w:rsid w:val="004B0C6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3FAB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15EB"/>
    <w:rsid w:val="00502C45"/>
    <w:rsid w:val="0050375D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1ED8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431C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536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6A3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B59"/>
    <w:rsid w:val="005E3D7F"/>
    <w:rsid w:val="005E4966"/>
    <w:rsid w:val="005E5865"/>
    <w:rsid w:val="005E6713"/>
    <w:rsid w:val="005E7501"/>
    <w:rsid w:val="005F1A4A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8E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5642"/>
    <w:rsid w:val="0062642B"/>
    <w:rsid w:val="00627243"/>
    <w:rsid w:val="006275ED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2577"/>
    <w:rsid w:val="0068342D"/>
    <w:rsid w:val="00683E82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F6E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2BB6"/>
    <w:rsid w:val="006D3640"/>
    <w:rsid w:val="006D39F1"/>
    <w:rsid w:val="006D4299"/>
    <w:rsid w:val="006D4E03"/>
    <w:rsid w:val="006D5159"/>
    <w:rsid w:val="006D598B"/>
    <w:rsid w:val="006D5DE4"/>
    <w:rsid w:val="006E044E"/>
    <w:rsid w:val="006E0944"/>
    <w:rsid w:val="006E0A2D"/>
    <w:rsid w:val="006E1819"/>
    <w:rsid w:val="006E2A0E"/>
    <w:rsid w:val="006E3CEC"/>
    <w:rsid w:val="006E4750"/>
    <w:rsid w:val="006E50BE"/>
    <w:rsid w:val="006E6231"/>
    <w:rsid w:val="006E645B"/>
    <w:rsid w:val="006E7A70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390B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434"/>
    <w:rsid w:val="00732604"/>
    <w:rsid w:val="00732BEC"/>
    <w:rsid w:val="00733709"/>
    <w:rsid w:val="00733C25"/>
    <w:rsid w:val="00733F9D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6752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6F9C"/>
    <w:rsid w:val="00787599"/>
    <w:rsid w:val="00787E17"/>
    <w:rsid w:val="00790667"/>
    <w:rsid w:val="007908DB"/>
    <w:rsid w:val="00790E4F"/>
    <w:rsid w:val="00791759"/>
    <w:rsid w:val="00791E8B"/>
    <w:rsid w:val="00793BB4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390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54BA"/>
    <w:rsid w:val="007B6B57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6B79"/>
    <w:rsid w:val="00807185"/>
    <w:rsid w:val="00807578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75E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47DF9"/>
    <w:rsid w:val="008501A9"/>
    <w:rsid w:val="00850201"/>
    <w:rsid w:val="008516DD"/>
    <w:rsid w:val="00851A2F"/>
    <w:rsid w:val="00851BAC"/>
    <w:rsid w:val="00851DD0"/>
    <w:rsid w:val="008528EE"/>
    <w:rsid w:val="0085387D"/>
    <w:rsid w:val="00853E57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479F"/>
    <w:rsid w:val="00864A8B"/>
    <w:rsid w:val="008660B5"/>
    <w:rsid w:val="00866718"/>
    <w:rsid w:val="008668EC"/>
    <w:rsid w:val="008676E9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87D24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112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0D60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3EF"/>
    <w:rsid w:val="008E0D52"/>
    <w:rsid w:val="008E0FE2"/>
    <w:rsid w:val="008E1C91"/>
    <w:rsid w:val="008E2FFA"/>
    <w:rsid w:val="008E3047"/>
    <w:rsid w:val="008E3C1C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649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01E"/>
    <w:rsid w:val="0091295F"/>
    <w:rsid w:val="0091321F"/>
    <w:rsid w:val="00913600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88F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8B1"/>
    <w:rsid w:val="0095502B"/>
    <w:rsid w:val="009557E4"/>
    <w:rsid w:val="00955887"/>
    <w:rsid w:val="009571B1"/>
    <w:rsid w:val="00957B4B"/>
    <w:rsid w:val="0096007F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AFF"/>
    <w:rsid w:val="00976B53"/>
    <w:rsid w:val="00976D09"/>
    <w:rsid w:val="00977578"/>
    <w:rsid w:val="00980145"/>
    <w:rsid w:val="009803CC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E04"/>
    <w:rsid w:val="0099730F"/>
    <w:rsid w:val="009A127F"/>
    <w:rsid w:val="009A1A6B"/>
    <w:rsid w:val="009A22D8"/>
    <w:rsid w:val="009A3576"/>
    <w:rsid w:val="009A398C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4E5A"/>
    <w:rsid w:val="009C6771"/>
    <w:rsid w:val="009C7469"/>
    <w:rsid w:val="009D0E33"/>
    <w:rsid w:val="009D115B"/>
    <w:rsid w:val="009D1645"/>
    <w:rsid w:val="009D17CE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6DF"/>
    <w:rsid w:val="009E67B2"/>
    <w:rsid w:val="009E70A1"/>
    <w:rsid w:val="009E74F7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6CF4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6395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379EF"/>
    <w:rsid w:val="00A40BBD"/>
    <w:rsid w:val="00A40F9F"/>
    <w:rsid w:val="00A4116F"/>
    <w:rsid w:val="00A413D7"/>
    <w:rsid w:val="00A41EAF"/>
    <w:rsid w:val="00A420FE"/>
    <w:rsid w:val="00A42B10"/>
    <w:rsid w:val="00A42ECA"/>
    <w:rsid w:val="00A43158"/>
    <w:rsid w:val="00A43182"/>
    <w:rsid w:val="00A44A0D"/>
    <w:rsid w:val="00A4538B"/>
    <w:rsid w:val="00A45C4B"/>
    <w:rsid w:val="00A46B0F"/>
    <w:rsid w:val="00A47EA5"/>
    <w:rsid w:val="00A47FAC"/>
    <w:rsid w:val="00A51264"/>
    <w:rsid w:val="00A523F3"/>
    <w:rsid w:val="00A525FD"/>
    <w:rsid w:val="00A52918"/>
    <w:rsid w:val="00A529AC"/>
    <w:rsid w:val="00A55AED"/>
    <w:rsid w:val="00A55D58"/>
    <w:rsid w:val="00A56227"/>
    <w:rsid w:val="00A56339"/>
    <w:rsid w:val="00A572DC"/>
    <w:rsid w:val="00A573AC"/>
    <w:rsid w:val="00A600B8"/>
    <w:rsid w:val="00A60374"/>
    <w:rsid w:val="00A603E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038D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4648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2C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B5A72"/>
    <w:rsid w:val="00AB7072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67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16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574"/>
    <w:rsid w:val="00B45ECB"/>
    <w:rsid w:val="00B46DA3"/>
    <w:rsid w:val="00B46EE8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666C"/>
    <w:rsid w:val="00B67A23"/>
    <w:rsid w:val="00B67E10"/>
    <w:rsid w:val="00B72BBB"/>
    <w:rsid w:val="00B73974"/>
    <w:rsid w:val="00B73EF5"/>
    <w:rsid w:val="00B74F84"/>
    <w:rsid w:val="00B750C8"/>
    <w:rsid w:val="00B75550"/>
    <w:rsid w:val="00B75A44"/>
    <w:rsid w:val="00B75E32"/>
    <w:rsid w:val="00B76EF4"/>
    <w:rsid w:val="00B8037E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5CF0"/>
    <w:rsid w:val="00B96B9A"/>
    <w:rsid w:val="00B96E7B"/>
    <w:rsid w:val="00BA0BBD"/>
    <w:rsid w:val="00BA13B9"/>
    <w:rsid w:val="00BA1FA3"/>
    <w:rsid w:val="00BA252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5602"/>
    <w:rsid w:val="00BB7339"/>
    <w:rsid w:val="00BB7AB7"/>
    <w:rsid w:val="00BC05E1"/>
    <w:rsid w:val="00BC06B2"/>
    <w:rsid w:val="00BC11E8"/>
    <w:rsid w:val="00BC1449"/>
    <w:rsid w:val="00BC1B1E"/>
    <w:rsid w:val="00BC2EC8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87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21D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13D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19D"/>
    <w:rsid w:val="00C20257"/>
    <w:rsid w:val="00C2069C"/>
    <w:rsid w:val="00C208F7"/>
    <w:rsid w:val="00C21B80"/>
    <w:rsid w:val="00C221B6"/>
    <w:rsid w:val="00C230CD"/>
    <w:rsid w:val="00C23BC4"/>
    <w:rsid w:val="00C2492F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6A9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47FB0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D89"/>
    <w:rsid w:val="00C60870"/>
    <w:rsid w:val="00C610D9"/>
    <w:rsid w:val="00C61C43"/>
    <w:rsid w:val="00C61E7D"/>
    <w:rsid w:val="00C61EFF"/>
    <w:rsid w:val="00C6230E"/>
    <w:rsid w:val="00C6289F"/>
    <w:rsid w:val="00C6311D"/>
    <w:rsid w:val="00C632B5"/>
    <w:rsid w:val="00C64392"/>
    <w:rsid w:val="00C65163"/>
    <w:rsid w:val="00C65422"/>
    <w:rsid w:val="00C6583C"/>
    <w:rsid w:val="00C6750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2B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0A65"/>
    <w:rsid w:val="00CA17E6"/>
    <w:rsid w:val="00CA2478"/>
    <w:rsid w:val="00CA25C3"/>
    <w:rsid w:val="00CA3528"/>
    <w:rsid w:val="00CA4374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24F8"/>
    <w:rsid w:val="00CE3BDF"/>
    <w:rsid w:val="00CE3C48"/>
    <w:rsid w:val="00CE41EA"/>
    <w:rsid w:val="00CE5CC7"/>
    <w:rsid w:val="00CE6311"/>
    <w:rsid w:val="00CE63FB"/>
    <w:rsid w:val="00CF07E2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16A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0ACA"/>
    <w:rsid w:val="00D2172E"/>
    <w:rsid w:val="00D22117"/>
    <w:rsid w:val="00D253FA"/>
    <w:rsid w:val="00D26805"/>
    <w:rsid w:val="00D26E39"/>
    <w:rsid w:val="00D26E65"/>
    <w:rsid w:val="00D277C0"/>
    <w:rsid w:val="00D30150"/>
    <w:rsid w:val="00D30732"/>
    <w:rsid w:val="00D3090A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6AF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6F38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521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073D"/>
    <w:rsid w:val="00DC1857"/>
    <w:rsid w:val="00DC2209"/>
    <w:rsid w:val="00DC29C8"/>
    <w:rsid w:val="00DC300B"/>
    <w:rsid w:val="00DC3011"/>
    <w:rsid w:val="00DC4AE7"/>
    <w:rsid w:val="00DC51D1"/>
    <w:rsid w:val="00DC53A0"/>
    <w:rsid w:val="00DC6A5D"/>
    <w:rsid w:val="00DD1540"/>
    <w:rsid w:val="00DD1994"/>
    <w:rsid w:val="00DD349B"/>
    <w:rsid w:val="00DD4BFC"/>
    <w:rsid w:val="00DD4C2A"/>
    <w:rsid w:val="00DD7652"/>
    <w:rsid w:val="00DD7E5B"/>
    <w:rsid w:val="00DE0F37"/>
    <w:rsid w:val="00DE1AAF"/>
    <w:rsid w:val="00DE28DC"/>
    <w:rsid w:val="00DE3468"/>
    <w:rsid w:val="00DE37C8"/>
    <w:rsid w:val="00DE3D0E"/>
    <w:rsid w:val="00DE58D3"/>
    <w:rsid w:val="00DE5921"/>
    <w:rsid w:val="00DE6508"/>
    <w:rsid w:val="00DE6EA5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AB9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656F"/>
    <w:rsid w:val="00E16DD6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7F5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10E0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5E0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4DD2"/>
    <w:rsid w:val="00E9527A"/>
    <w:rsid w:val="00E955C5"/>
    <w:rsid w:val="00E96AC2"/>
    <w:rsid w:val="00E97D86"/>
    <w:rsid w:val="00EA00CA"/>
    <w:rsid w:val="00EA015C"/>
    <w:rsid w:val="00EA0356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3BDD"/>
    <w:rsid w:val="00EC41B5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16B"/>
    <w:rsid w:val="00F24F77"/>
    <w:rsid w:val="00F252F6"/>
    <w:rsid w:val="00F25A5B"/>
    <w:rsid w:val="00F25E01"/>
    <w:rsid w:val="00F26001"/>
    <w:rsid w:val="00F263D5"/>
    <w:rsid w:val="00F26DE0"/>
    <w:rsid w:val="00F26E7A"/>
    <w:rsid w:val="00F2701A"/>
    <w:rsid w:val="00F27C11"/>
    <w:rsid w:val="00F307C6"/>
    <w:rsid w:val="00F3096D"/>
    <w:rsid w:val="00F32087"/>
    <w:rsid w:val="00F32B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1722"/>
    <w:rsid w:val="00F72342"/>
    <w:rsid w:val="00F72788"/>
    <w:rsid w:val="00F74454"/>
    <w:rsid w:val="00F75ABA"/>
    <w:rsid w:val="00F77084"/>
    <w:rsid w:val="00F80230"/>
    <w:rsid w:val="00F80ED3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16D"/>
    <w:rsid w:val="00F9262F"/>
    <w:rsid w:val="00F93D5B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224C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3BDD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3BD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EC3BDD"/>
  </w:style>
  <w:style w:type="character" w:customStyle="1" w:styleId="apple-converted-space">
    <w:name w:val="apple-converted-space"/>
    <w:basedOn w:val="DefaultParagraphFont"/>
    <w:rsid w:val="00EC3BDD"/>
  </w:style>
  <w:style w:type="character" w:customStyle="1" w:styleId="valuedownii">
    <w:name w:val="value_downii"/>
    <w:basedOn w:val="DefaultParagraphFont"/>
    <w:rsid w:val="00EC3BDD"/>
  </w:style>
  <w:style w:type="paragraph" w:styleId="NormalWeb">
    <w:name w:val="Normal (Web)"/>
    <w:basedOn w:val="Normal"/>
    <w:uiPriority w:val="99"/>
    <w:semiHidden/>
    <w:unhideWhenUsed/>
    <w:rsid w:val="00EC3BDD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EC3BD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BDD"/>
    <w:rPr>
      <w:color w:val="800080" w:themeColor="followedHyperlink"/>
      <w:u w:val="single"/>
    </w:rPr>
  </w:style>
  <w:style w:type="character" w:customStyle="1" w:styleId="mi">
    <w:name w:val="mi"/>
    <w:basedOn w:val="DefaultParagraphFont"/>
    <w:rsid w:val="00B96E7B"/>
  </w:style>
  <w:style w:type="character" w:customStyle="1" w:styleId="mtext">
    <w:name w:val="mtext"/>
    <w:basedOn w:val="DefaultParagraphFont"/>
    <w:rsid w:val="00B96E7B"/>
  </w:style>
  <w:style w:type="character" w:customStyle="1" w:styleId="mjxassistivemathml">
    <w:name w:val="mjx_assistive_mathml"/>
    <w:basedOn w:val="DefaultParagraphFont"/>
    <w:rsid w:val="00B9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C578-AF5E-454F-9AA4-13D0B80B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8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Woodward</dc:creator>
  <cp:lastModifiedBy>keithphw@hotmail.com</cp:lastModifiedBy>
  <cp:revision>293</cp:revision>
  <cp:lastPrinted>2016-05-29T05:43:00Z</cp:lastPrinted>
  <dcterms:created xsi:type="dcterms:W3CDTF">2011-05-09T16:15:00Z</dcterms:created>
  <dcterms:modified xsi:type="dcterms:W3CDTF">2020-03-26T06:44:00Z</dcterms:modified>
</cp:coreProperties>
</file>