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990" w:rsidRDefault="00B94990" w:rsidP="00B94990">
      <w:pPr>
        <w:spacing w:after="200" w:line="276" w:lineRule="auto"/>
        <w:rPr>
          <w:rFonts w:asciiTheme="majorHAnsi" w:hAnsiTheme="majorHAnsi"/>
          <w:b/>
          <w:i/>
          <w:color w:val="800000"/>
          <w:sz w:val="72"/>
          <w:szCs w:val="72"/>
        </w:rPr>
      </w:pPr>
      <w:r>
        <w:rPr>
          <w:rFonts w:asciiTheme="majorHAnsi" w:hAnsiTheme="majorHAnsi"/>
          <w:b/>
          <w:i/>
          <w:color w:val="800000"/>
          <w:sz w:val="72"/>
          <w:szCs w:val="72"/>
        </w:rPr>
        <w:t>Multiples Valuation</w:t>
      </w:r>
    </w:p>
    <w:p w:rsidR="00B94990" w:rsidRDefault="00B94990" w:rsidP="00B94990">
      <w:pPr>
        <w:spacing w:after="200" w:line="276" w:lineRule="auto"/>
        <w:rPr>
          <w:rFonts w:asciiTheme="majorHAnsi" w:hAnsiTheme="majorHAnsi"/>
          <w:color w:val="003366"/>
          <w:sz w:val="52"/>
          <w:szCs w:val="52"/>
        </w:rPr>
      </w:pPr>
      <w:r>
        <w:rPr>
          <w:rFonts w:asciiTheme="majorHAnsi" w:hAnsiTheme="majorHAnsi"/>
          <w:color w:val="003366"/>
          <w:sz w:val="52"/>
          <w:szCs w:val="52"/>
        </w:rPr>
        <w:t>Multiples valuation is the preferred method to value stocks amongst practitioners in the finance industry. There are many different multiples that are used, some of the most common are:</w:t>
      </w:r>
    </w:p>
    <w:p w:rsidR="00B94990" w:rsidRPr="00170AF7" w:rsidRDefault="00B94990" w:rsidP="00B94990">
      <w:pPr>
        <w:pStyle w:val="ListParagraph"/>
        <w:numPr>
          <w:ilvl w:val="0"/>
          <w:numId w:val="4"/>
        </w:numPr>
        <w:spacing w:after="200" w:line="276" w:lineRule="auto"/>
        <w:rPr>
          <w:rFonts w:asciiTheme="majorHAnsi" w:hAnsiTheme="majorHAnsi"/>
          <w:color w:val="003366"/>
          <w:sz w:val="52"/>
          <w:szCs w:val="52"/>
        </w:rPr>
      </w:pPr>
      <w:r w:rsidRPr="00170AF7">
        <w:rPr>
          <w:rFonts w:asciiTheme="majorHAnsi" w:hAnsiTheme="majorHAnsi"/>
          <w:color w:val="003366"/>
          <w:sz w:val="52"/>
          <w:szCs w:val="52"/>
        </w:rPr>
        <w:t xml:space="preserve">Share Price/Earnings (PE) ratio, </w:t>
      </w:r>
    </w:p>
    <w:p w:rsidR="00B94990" w:rsidRPr="00170AF7" w:rsidRDefault="00B94990" w:rsidP="00B94990">
      <w:pPr>
        <w:pStyle w:val="ListParagraph"/>
        <w:numPr>
          <w:ilvl w:val="0"/>
          <w:numId w:val="4"/>
        </w:numPr>
        <w:spacing w:after="200" w:line="276" w:lineRule="auto"/>
        <w:rPr>
          <w:rFonts w:asciiTheme="majorHAnsi" w:hAnsiTheme="majorHAnsi"/>
          <w:color w:val="003366"/>
          <w:sz w:val="52"/>
          <w:szCs w:val="52"/>
        </w:rPr>
      </w:pPr>
      <w:r w:rsidRPr="00170AF7">
        <w:rPr>
          <w:rFonts w:asciiTheme="majorHAnsi" w:hAnsiTheme="majorHAnsi"/>
          <w:color w:val="003366"/>
          <w:sz w:val="52"/>
          <w:szCs w:val="52"/>
        </w:rPr>
        <w:t>Enterprise Value/EBITDA (EV/EBITDA) ratio</w:t>
      </w:r>
    </w:p>
    <w:p w:rsidR="00B94990" w:rsidRPr="00170AF7" w:rsidRDefault="00B94990" w:rsidP="00B94990">
      <w:pPr>
        <w:pStyle w:val="ListParagraph"/>
        <w:numPr>
          <w:ilvl w:val="0"/>
          <w:numId w:val="4"/>
        </w:numPr>
        <w:spacing w:after="200" w:line="276" w:lineRule="auto"/>
        <w:rPr>
          <w:rFonts w:asciiTheme="majorHAnsi" w:hAnsiTheme="majorHAnsi"/>
          <w:color w:val="003366"/>
          <w:sz w:val="52"/>
          <w:szCs w:val="52"/>
        </w:rPr>
      </w:pPr>
      <w:r w:rsidRPr="00170AF7">
        <w:rPr>
          <w:rFonts w:asciiTheme="majorHAnsi" w:hAnsiTheme="majorHAnsi"/>
          <w:color w:val="003366"/>
          <w:sz w:val="52"/>
          <w:szCs w:val="52"/>
        </w:rPr>
        <w:t xml:space="preserve">Book value of equity/Market value of equity (Book to market) ratio </w:t>
      </w:r>
    </w:p>
    <w:p w:rsidR="00B94990" w:rsidRPr="00170AF7" w:rsidRDefault="00B94990" w:rsidP="00B94990">
      <w:pPr>
        <w:pStyle w:val="ListParagraph"/>
        <w:numPr>
          <w:ilvl w:val="0"/>
          <w:numId w:val="4"/>
        </w:numPr>
        <w:spacing w:after="200" w:line="276" w:lineRule="auto"/>
        <w:rPr>
          <w:rFonts w:asciiTheme="majorHAnsi" w:hAnsiTheme="majorHAnsi"/>
          <w:color w:val="003366"/>
          <w:sz w:val="52"/>
          <w:szCs w:val="52"/>
        </w:rPr>
      </w:pPr>
      <w:r w:rsidRPr="00170AF7">
        <w:rPr>
          <w:rFonts w:asciiTheme="majorHAnsi" w:hAnsiTheme="majorHAnsi"/>
          <w:color w:val="003366"/>
          <w:sz w:val="52"/>
          <w:szCs w:val="52"/>
        </w:rPr>
        <w:t>Share Price/ Sales (Price to sales) ratio</w:t>
      </w:r>
    </w:p>
    <w:p w:rsidR="00B94990" w:rsidRPr="00170AF7" w:rsidRDefault="00B94990" w:rsidP="00B94990">
      <w:pPr>
        <w:pStyle w:val="ListParagraph"/>
        <w:numPr>
          <w:ilvl w:val="0"/>
          <w:numId w:val="4"/>
        </w:numPr>
        <w:spacing w:after="200" w:line="276" w:lineRule="auto"/>
        <w:rPr>
          <w:rFonts w:asciiTheme="majorHAnsi" w:hAnsiTheme="majorHAnsi"/>
          <w:color w:val="003366"/>
          <w:sz w:val="52"/>
          <w:szCs w:val="52"/>
        </w:rPr>
      </w:pPr>
      <w:r w:rsidRPr="00170AF7">
        <w:rPr>
          <w:rFonts w:asciiTheme="majorHAnsi" w:hAnsiTheme="majorHAnsi"/>
          <w:color w:val="003366"/>
          <w:sz w:val="52"/>
          <w:szCs w:val="52"/>
        </w:rPr>
        <w:t>(Share Price/Earnings)/Earnings growth (PEG) ratio</w:t>
      </w:r>
    </w:p>
    <w:p w:rsidR="00B94990" w:rsidRDefault="00B94990" w:rsidP="00B94990">
      <w:pPr>
        <w:spacing w:after="200" w:line="276" w:lineRule="auto"/>
        <w:rPr>
          <w:rFonts w:asciiTheme="majorHAnsi" w:hAnsiTheme="majorHAnsi"/>
          <w:color w:val="003366"/>
          <w:sz w:val="52"/>
          <w:szCs w:val="52"/>
        </w:rPr>
      </w:pPr>
      <w:r>
        <w:rPr>
          <w:rFonts w:asciiTheme="majorHAnsi" w:hAnsiTheme="majorHAnsi"/>
          <w:color w:val="003366"/>
          <w:sz w:val="52"/>
          <w:szCs w:val="52"/>
        </w:rPr>
        <w:t>We'll focus on the 'Price to Earnings' or PE ratio.</w:t>
      </w:r>
    </w:p>
    <w:p w:rsidR="00B94990" w:rsidRPr="000C1A49" w:rsidRDefault="00B94990" w:rsidP="00B94990">
      <w:pPr>
        <w:spacing w:after="200" w:line="276" w:lineRule="auto"/>
        <w:ind w:left="360"/>
        <w:rPr>
          <w:rFonts w:asciiTheme="majorHAnsi" w:hAnsiTheme="majorHAnsi"/>
          <w:b/>
          <w:i/>
          <w:color w:val="800000"/>
          <w:sz w:val="72"/>
          <w:szCs w:val="72"/>
        </w:rPr>
      </w:pPr>
      <w:r>
        <w:rPr>
          <w:rFonts w:asciiTheme="majorHAnsi" w:hAnsiTheme="majorHAnsi"/>
          <w:b/>
          <w:i/>
          <w:color w:val="800000"/>
          <w:sz w:val="72"/>
          <w:szCs w:val="72"/>
        </w:rPr>
        <w:lastRenderedPageBreak/>
        <w:t>Earnings Per Share (EPS) Calculation</w:t>
      </w:r>
    </w:p>
    <w:p w:rsidR="00B94990" w:rsidRDefault="00B94990" w:rsidP="00B94990">
      <w:pPr>
        <w:spacing w:after="200" w:line="276" w:lineRule="auto"/>
        <w:ind w:left="360"/>
        <w:rPr>
          <w:rFonts w:asciiTheme="majorHAnsi" w:hAnsiTheme="majorHAnsi"/>
          <w:color w:val="003366"/>
          <w:sz w:val="46"/>
          <w:szCs w:val="46"/>
        </w:rPr>
      </w:pPr>
      <w:r w:rsidRPr="000C1A49">
        <w:rPr>
          <w:rFonts w:asciiTheme="majorHAnsi" w:hAnsiTheme="majorHAnsi"/>
          <w:color w:val="003366"/>
          <w:sz w:val="46"/>
          <w:szCs w:val="46"/>
        </w:rPr>
        <w:t>Earnings per share is r</w:t>
      </w:r>
      <w:r>
        <w:rPr>
          <w:rFonts w:asciiTheme="majorHAnsi" w:hAnsiTheme="majorHAnsi"/>
          <w:color w:val="003366"/>
          <w:sz w:val="46"/>
          <w:szCs w:val="46"/>
        </w:rPr>
        <w:t>eported in compan</w:t>
      </w:r>
      <w:r w:rsidR="005945D6">
        <w:rPr>
          <w:rFonts w:asciiTheme="majorHAnsi" w:hAnsiTheme="majorHAnsi"/>
          <w:color w:val="003366"/>
          <w:sz w:val="46"/>
          <w:szCs w:val="46"/>
        </w:rPr>
        <w:t>ie</w:t>
      </w:r>
      <w:r w:rsidRPr="000C1A49">
        <w:rPr>
          <w:rFonts w:asciiTheme="majorHAnsi" w:hAnsiTheme="majorHAnsi"/>
          <w:color w:val="003366"/>
          <w:sz w:val="46"/>
          <w:szCs w:val="46"/>
        </w:rPr>
        <w:t>s</w:t>
      </w:r>
      <w:r>
        <w:rPr>
          <w:rFonts w:asciiTheme="majorHAnsi" w:hAnsiTheme="majorHAnsi"/>
          <w:color w:val="003366"/>
          <w:sz w:val="46"/>
          <w:szCs w:val="46"/>
        </w:rPr>
        <w:t>’</w:t>
      </w:r>
      <w:r w:rsidRPr="000C1A49">
        <w:rPr>
          <w:rFonts w:asciiTheme="majorHAnsi" w:hAnsiTheme="majorHAnsi"/>
          <w:color w:val="003366"/>
          <w:sz w:val="46"/>
          <w:szCs w:val="46"/>
        </w:rPr>
        <w:t xml:space="preserve"> financial reports</w:t>
      </w:r>
      <w:r>
        <w:rPr>
          <w:rFonts w:asciiTheme="majorHAnsi" w:hAnsiTheme="majorHAnsi"/>
          <w:color w:val="003366"/>
          <w:sz w:val="46"/>
          <w:szCs w:val="46"/>
        </w:rPr>
        <w:t>. It is the total earnings of the firm divided by the total number of shares.</w:t>
      </w:r>
    </w:p>
    <w:p w:rsidR="00B94990" w:rsidRDefault="00B94990" w:rsidP="00B94990">
      <w:pPr>
        <w:spacing w:after="200" w:line="276" w:lineRule="auto"/>
        <w:ind w:left="360"/>
        <w:rPr>
          <w:rFonts w:asciiTheme="majorHAnsi" w:hAnsiTheme="majorHAnsi"/>
          <w:color w:val="003366"/>
          <w:sz w:val="46"/>
          <w:szCs w:val="46"/>
        </w:rPr>
      </w:pPr>
      <m:oMathPara>
        <m:oMathParaPr>
          <m:jc m:val="left"/>
        </m:oMathParaPr>
        <m:oMath>
          <m:r>
            <w:rPr>
              <w:rFonts w:ascii="Cambria Math" w:hAnsiTheme="majorHAnsi"/>
              <w:color w:val="003366"/>
              <w:sz w:val="52"/>
              <w:szCs w:val="52"/>
            </w:rPr>
            <m:t>EPS=</m:t>
          </m:r>
          <m:f>
            <m:fPr>
              <m:ctrlPr>
                <w:rPr>
                  <w:rFonts w:ascii="Cambria Math" w:hAnsiTheme="majorHAnsi"/>
                  <w:i/>
                  <w:color w:val="003366"/>
                  <w:sz w:val="52"/>
                  <w:szCs w:val="52"/>
                </w:rPr>
              </m:ctrlPr>
            </m:fPr>
            <m:num>
              <m:r>
                <w:rPr>
                  <w:rFonts w:ascii="Cambria Math" w:hAnsiTheme="majorHAnsi"/>
                  <w:color w:val="003366"/>
                  <w:sz w:val="52"/>
                  <w:szCs w:val="52"/>
                </w:rPr>
                <m:t>Total earnings</m:t>
              </m:r>
            </m:num>
            <m:den>
              <m:r>
                <w:rPr>
                  <w:rFonts w:ascii="Cambria Math" w:hAnsiTheme="majorHAnsi"/>
                  <w:color w:val="003366"/>
                  <w:sz w:val="52"/>
                  <w:szCs w:val="52"/>
                </w:rPr>
                <m:t>number of s</m:t>
              </m:r>
              <m:r>
                <w:rPr>
                  <w:rFonts w:ascii="Cambria Math" w:hAnsi="Cambria Math"/>
                  <w:color w:val="003366"/>
                  <w:sz w:val="46"/>
                  <w:szCs w:val="46"/>
                </w:rPr>
                <m:t>h</m:t>
              </m:r>
              <m:r>
                <w:rPr>
                  <w:rFonts w:ascii="Cambria Math" w:hAnsiTheme="majorHAnsi"/>
                  <w:color w:val="003366"/>
                  <w:sz w:val="52"/>
                  <w:szCs w:val="52"/>
                </w:rPr>
                <m:t>ares</m:t>
              </m:r>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NI</m:t>
              </m:r>
            </m:num>
            <m:den>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ctrlPr>
                <w:rPr>
                  <w:rFonts w:ascii="Cambria Math" w:hAnsi="Cambria Math"/>
                  <w:i/>
                  <w:color w:val="003366"/>
                  <w:sz w:val="46"/>
                  <w:szCs w:val="46"/>
                </w:rPr>
              </m:ctrlPr>
            </m:den>
          </m:f>
        </m:oMath>
      </m:oMathPara>
    </w:p>
    <w:p w:rsidR="00B94990" w:rsidRDefault="00B94990" w:rsidP="00B94990">
      <w:pPr>
        <w:spacing w:after="200" w:line="276" w:lineRule="auto"/>
        <w:ind w:left="360"/>
        <w:rPr>
          <w:rFonts w:asciiTheme="majorHAnsi" w:hAnsiTheme="majorHAnsi"/>
          <w:color w:val="003366"/>
          <w:sz w:val="46"/>
          <w:szCs w:val="46"/>
        </w:rPr>
      </w:pPr>
      <w:r w:rsidRPr="000C1A49">
        <w:rPr>
          <w:rFonts w:asciiTheme="majorHAnsi" w:hAnsiTheme="majorHAnsi"/>
          <w:color w:val="003366"/>
          <w:sz w:val="46"/>
          <w:szCs w:val="46"/>
        </w:rPr>
        <w:t xml:space="preserve">Note that </w:t>
      </w:r>
      <w:r>
        <w:rPr>
          <w:rFonts w:asciiTheme="majorHAnsi" w:hAnsiTheme="majorHAnsi"/>
          <w:color w:val="003366"/>
          <w:sz w:val="46"/>
          <w:szCs w:val="46"/>
        </w:rPr>
        <w:t>e</w:t>
      </w:r>
      <w:r w:rsidRPr="000C1A49">
        <w:rPr>
          <w:rFonts w:asciiTheme="majorHAnsi" w:hAnsiTheme="majorHAnsi"/>
          <w:color w:val="003366"/>
          <w:sz w:val="46"/>
          <w:szCs w:val="46"/>
        </w:rPr>
        <w:t xml:space="preserve">arnings are an American term for Net Income (NI) or Net Profit After Tax (NPAT). </w:t>
      </w:r>
    </w:p>
    <w:p w:rsidR="00B94990" w:rsidRDefault="00B94990" w:rsidP="00B94990">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B94990" w:rsidRPr="000C1A49" w:rsidRDefault="00B94990" w:rsidP="00B94990">
      <w:pPr>
        <w:spacing w:after="200" w:line="276" w:lineRule="auto"/>
        <w:ind w:left="360"/>
        <w:rPr>
          <w:rFonts w:asciiTheme="majorHAnsi" w:hAnsiTheme="majorHAnsi"/>
          <w:b/>
          <w:i/>
          <w:color w:val="800000"/>
          <w:sz w:val="72"/>
          <w:szCs w:val="72"/>
        </w:rPr>
      </w:pPr>
      <w:r>
        <w:rPr>
          <w:rFonts w:asciiTheme="majorHAnsi" w:hAnsiTheme="majorHAnsi"/>
          <w:b/>
          <w:i/>
          <w:color w:val="800000"/>
          <w:sz w:val="72"/>
          <w:szCs w:val="72"/>
        </w:rPr>
        <w:lastRenderedPageBreak/>
        <w:t>PE Ratio Calculation</w:t>
      </w:r>
    </w:p>
    <w:p w:rsidR="00B94990" w:rsidRDefault="00B94990" w:rsidP="00B94990">
      <w:pPr>
        <w:spacing w:after="200" w:line="276" w:lineRule="auto"/>
        <w:ind w:left="360"/>
        <w:rPr>
          <w:rFonts w:asciiTheme="majorHAnsi" w:hAnsiTheme="majorHAnsi"/>
          <w:color w:val="003366"/>
          <w:sz w:val="46"/>
          <w:szCs w:val="46"/>
        </w:rPr>
      </w:pPr>
      <w:r>
        <w:rPr>
          <w:rFonts w:asciiTheme="majorHAnsi" w:hAnsiTheme="majorHAnsi"/>
          <w:color w:val="003366"/>
          <w:sz w:val="46"/>
          <w:szCs w:val="46"/>
        </w:rPr>
        <w:t>The PE ratio can be calculated in two different ways which give the same answer:</w:t>
      </w:r>
    </w:p>
    <w:p w:rsidR="00B94990" w:rsidRPr="00141DC5" w:rsidRDefault="00B94990" w:rsidP="00B94990">
      <w:pPr>
        <w:spacing w:after="200" w:line="276" w:lineRule="auto"/>
        <w:ind w:left="360"/>
        <w:rPr>
          <w:rFonts w:asciiTheme="majorHAnsi" w:hAnsiTheme="majorHAnsi"/>
          <w:color w:val="003366"/>
          <w:sz w:val="52"/>
          <w:szCs w:val="52"/>
        </w:rPr>
      </w:pPr>
      <m:oMathPara>
        <m:oMathParaPr>
          <m:jc m:val="left"/>
        </m:oMathParaPr>
        <m:oMath>
          <m:r>
            <w:rPr>
              <w:rFonts w:ascii="Cambria Math" w:hAnsiTheme="majorHAnsi"/>
              <w:color w:val="003366"/>
              <w:sz w:val="52"/>
              <w:szCs w:val="52"/>
            </w:rPr>
            <m:t>PE ratio=</m:t>
          </m:r>
          <m:f>
            <m:fPr>
              <m:ctrlPr>
                <w:rPr>
                  <w:rFonts w:ascii="Cambria Math" w:hAnsiTheme="majorHAnsi"/>
                  <w:i/>
                  <w:color w:val="003366"/>
                  <w:sz w:val="52"/>
                  <w:szCs w:val="52"/>
                </w:rPr>
              </m:ctrlPr>
            </m:fPr>
            <m:num>
              <m:r>
                <w:rPr>
                  <w:rFonts w:ascii="Cambria Math" w:hAnsiTheme="majorHAnsi"/>
                  <w:color w:val="003366"/>
                  <w:sz w:val="52"/>
                  <w:szCs w:val="52"/>
                </w:rPr>
                <m:t>s</m:t>
              </m:r>
              <m:r>
                <w:rPr>
                  <w:rFonts w:ascii="Cambria Math" w:hAnsi="Cambria Math"/>
                  <w:color w:val="003366"/>
                  <w:sz w:val="46"/>
                  <w:szCs w:val="46"/>
                </w:rPr>
                <m:t>h</m:t>
              </m:r>
              <m:r>
                <w:rPr>
                  <w:rFonts w:ascii="Cambria Math" w:hAnsiTheme="majorHAnsi"/>
                  <w:color w:val="003366"/>
                  <w:sz w:val="52"/>
                  <w:szCs w:val="52"/>
                </w:rPr>
                <m:t>are price</m:t>
              </m:r>
            </m:num>
            <m:den>
              <m:r>
                <w:rPr>
                  <w:rFonts w:ascii="Cambria Math" w:hAnsiTheme="majorHAnsi"/>
                  <w:color w:val="003366"/>
                  <w:sz w:val="52"/>
                  <w:szCs w:val="52"/>
                </w:rPr>
                <m:t>EPS</m:t>
              </m:r>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share</m:t>
                  </m:r>
                </m:sub>
              </m:sSub>
            </m:num>
            <m:den>
              <m:r>
                <w:rPr>
                  <w:rFonts w:ascii="Cambria Math" w:hAnsi="Cambria Math"/>
                  <w:color w:val="003366"/>
                  <w:sz w:val="52"/>
                  <w:szCs w:val="52"/>
                </w:rPr>
                <m:t>EPS</m:t>
              </m:r>
            </m:den>
          </m:f>
        </m:oMath>
      </m:oMathPara>
    </w:p>
    <w:p w:rsidR="00B94990" w:rsidRDefault="00B94990" w:rsidP="00B94990">
      <w:pPr>
        <w:spacing w:after="200" w:line="276" w:lineRule="auto"/>
        <w:ind w:left="360"/>
        <w:rPr>
          <w:rFonts w:asciiTheme="majorHAnsi" w:hAnsiTheme="majorHAnsi"/>
          <w:color w:val="003366"/>
          <w:sz w:val="52"/>
          <w:szCs w:val="52"/>
        </w:rPr>
      </w:pPr>
      <w:r>
        <w:rPr>
          <w:rFonts w:asciiTheme="majorHAnsi" w:hAnsiTheme="majorHAnsi"/>
          <w:color w:val="003366"/>
          <w:sz w:val="52"/>
          <w:szCs w:val="52"/>
        </w:rPr>
        <w:t>If we multiply the top and bottom of the fraction by the total number of shares, then the denominator will be total earnings, and the numerator will be the market capitalisation of equity (E, as in V=D+E) which is the price of buying all shares (</w:t>
      </w:r>
      <m:oMath>
        <m:r>
          <w:rPr>
            <w:rFonts w:ascii="Cambria Math" w:hAnsi="Cambria Math"/>
            <w:color w:val="003366"/>
            <w:sz w:val="52"/>
            <w:szCs w:val="52"/>
          </w:rPr>
          <m:t>E=</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share</m:t>
            </m:r>
          </m:sub>
        </m:sSub>
      </m:oMath>
      <w:r>
        <w:rPr>
          <w:rFonts w:asciiTheme="majorHAnsi" w:hAnsiTheme="majorHAnsi"/>
          <w:color w:val="003366"/>
          <w:sz w:val="52"/>
          <w:szCs w:val="52"/>
        </w:rPr>
        <w:t>).</w:t>
      </w:r>
    </w:p>
    <w:p w:rsidR="00B94990" w:rsidRDefault="00B94990" w:rsidP="00B94990">
      <w:pPr>
        <w:spacing w:after="200" w:line="276" w:lineRule="auto"/>
        <w:ind w:left="360"/>
        <w:rPr>
          <w:rFonts w:asciiTheme="majorHAnsi" w:hAnsiTheme="majorHAnsi"/>
          <w:color w:val="003366"/>
          <w:sz w:val="52"/>
          <w:szCs w:val="52"/>
        </w:rPr>
      </w:pPr>
      <m:oMathPara>
        <m:oMathParaPr>
          <m:jc m:val="left"/>
        </m:oMathParaPr>
        <m:oMath>
          <m:r>
            <w:rPr>
              <w:rFonts w:ascii="Cambria Math" w:hAnsiTheme="majorHAnsi"/>
              <w:color w:val="003366"/>
              <w:sz w:val="52"/>
              <w:szCs w:val="52"/>
            </w:rPr>
            <m:t>PE ratio</m:t>
          </m:r>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market capitalisation of equity</m:t>
              </m:r>
            </m:num>
            <m:den>
              <m:r>
                <w:rPr>
                  <w:rFonts w:ascii="Cambria Math" w:hAnsi="Cambria Math"/>
                  <w:color w:val="003366"/>
                  <w:sz w:val="52"/>
                  <w:szCs w:val="52"/>
                </w:rPr>
                <m:t>total earnings</m:t>
              </m:r>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E</m:t>
              </m:r>
            </m:num>
            <m:den>
              <m:r>
                <w:rPr>
                  <w:rFonts w:ascii="Cambria Math" w:hAnsi="Cambria Math"/>
                  <w:color w:val="003366"/>
                  <w:sz w:val="52"/>
                  <w:szCs w:val="52"/>
                </w:rPr>
                <m:t>NI</m:t>
              </m:r>
            </m:den>
          </m:f>
        </m:oMath>
      </m:oMathPara>
    </w:p>
    <w:p w:rsidR="00B94990" w:rsidRDefault="00B94990" w:rsidP="00B94990">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Price-Earnings Ratio Valuation</w:t>
      </w:r>
    </w:p>
    <w:p w:rsidR="00B94990" w:rsidRPr="00640F9A" w:rsidRDefault="00B94990" w:rsidP="00B94990">
      <w:pPr>
        <w:spacing w:after="200" w:line="276" w:lineRule="auto"/>
        <w:rPr>
          <w:rFonts w:asciiTheme="majorHAnsi" w:hAnsiTheme="majorHAnsi"/>
          <w:color w:val="003366"/>
          <w:sz w:val="46"/>
          <w:szCs w:val="46"/>
        </w:rPr>
      </w:pPr>
      <w:r>
        <w:rPr>
          <w:rFonts w:asciiTheme="majorHAnsi" w:hAnsiTheme="majorHAnsi"/>
          <w:color w:val="003366"/>
          <w:sz w:val="46"/>
          <w:szCs w:val="46"/>
        </w:rPr>
        <w:t xml:space="preserve">How to calculate stock XYZ's market capitalisation of equity </w:t>
      </w:r>
      <w:r w:rsidRPr="00640F9A">
        <w:rPr>
          <w:rFonts w:asciiTheme="majorHAnsi" w:hAnsiTheme="majorHAnsi"/>
          <w:color w:val="003366"/>
          <w:sz w:val="46"/>
          <w:szCs w:val="46"/>
        </w:rPr>
        <w:t xml:space="preserve">using </w:t>
      </w:r>
      <w:r>
        <w:rPr>
          <w:rFonts w:asciiTheme="majorHAnsi" w:hAnsiTheme="majorHAnsi"/>
          <w:color w:val="003366"/>
          <w:sz w:val="46"/>
          <w:szCs w:val="46"/>
        </w:rPr>
        <w:t>the price-earnings multiple (or PE ratio) approach:</w:t>
      </w:r>
    </w:p>
    <w:p w:rsidR="00B94990" w:rsidRPr="00640F9A" w:rsidRDefault="00B94990" w:rsidP="00B94990">
      <w:pPr>
        <w:pStyle w:val="ListParagraph"/>
        <w:numPr>
          <w:ilvl w:val="0"/>
          <w:numId w:val="5"/>
        </w:numPr>
        <w:spacing w:after="200" w:line="276" w:lineRule="auto"/>
        <w:rPr>
          <w:rFonts w:asciiTheme="majorHAnsi" w:hAnsiTheme="majorHAnsi"/>
          <w:color w:val="003366"/>
          <w:sz w:val="46"/>
          <w:szCs w:val="46"/>
        </w:rPr>
      </w:pPr>
      <w:r w:rsidRPr="00640F9A">
        <w:rPr>
          <w:rFonts w:asciiTheme="majorHAnsi" w:hAnsiTheme="majorHAnsi"/>
          <w:color w:val="003366"/>
          <w:sz w:val="46"/>
          <w:szCs w:val="46"/>
        </w:rPr>
        <w:t xml:space="preserve">Make a list of similar firms from the same industry </w:t>
      </w:r>
      <w:r>
        <w:rPr>
          <w:rFonts w:asciiTheme="majorHAnsi" w:hAnsiTheme="majorHAnsi"/>
          <w:color w:val="003366"/>
          <w:sz w:val="46"/>
          <w:szCs w:val="46"/>
        </w:rPr>
        <w:t xml:space="preserve">as XYZ </w:t>
      </w:r>
      <w:r w:rsidRPr="00640F9A">
        <w:rPr>
          <w:rFonts w:asciiTheme="majorHAnsi" w:hAnsiTheme="majorHAnsi"/>
          <w:color w:val="003366"/>
          <w:sz w:val="46"/>
          <w:szCs w:val="46"/>
        </w:rPr>
        <w:t xml:space="preserve">with the same levels </w:t>
      </w:r>
      <w:r>
        <w:rPr>
          <w:rFonts w:asciiTheme="majorHAnsi" w:hAnsiTheme="majorHAnsi"/>
          <w:color w:val="003366"/>
          <w:sz w:val="46"/>
          <w:szCs w:val="46"/>
        </w:rPr>
        <w:t xml:space="preserve">of </w:t>
      </w:r>
      <w:r w:rsidRPr="00640F9A">
        <w:rPr>
          <w:rFonts w:asciiTheme="majorHAnsi" w:hAnsiTheme="majorHAnsi"/>
          <w:color w:val="003366"/>
          <w:sz w:val="46"/>
          <w:szCs w:val="46"/>
        </w:rPr>
        <w:t xml:space="preserve">risk and </w:t>
      </w:r>
      <w:r>
        <w:rPr>
          <w:rFonts w:asciiTheme="majorHAnsi" w:hAnsiTheme="majorHAnsi"/>
          <w:color w:val="003366"/>
          <w:sz w:val="46"/>
          <w:szCs w:val="46"/>
        </w:rPr>
        <w:t>leverage (ratio of debt to assets)</w:t>
      </w:r>
      <w:r w:rsidRPr="00640F9A">
        <w:rPr>
          <w:rFonts w:asciiTheme="majorHAnsi" w:hAnsiTheme="majorHAnsi"/>
          <w:color w:val="003366"/>
          <w:sz w:val="46"/>
          <w:szCs w:val="46"/>
        </w:rPr>
        <w:t>.</w:t>
      </w:r>
    </w:p>
    <w:p w:rsidR="00B94990" w:rsidRPr="000C1A49" w:rsidRDefault="00B94990" w:rsidP="00B94990">
      <w:pPr>
        <w:pStyle w:val="ListParagraph"/>
        <w:numPr>
          <w:ilvl w:val="0"/>
          <w:numId w:val="5"/>
        </w:numPr>
        <w:spacing w:after="200" w:line="276" w:lineRule="auto"/>
        <w:rPr>
          <w:rFonts w:asciiTheme="majorHAnsi" w:hAnsiTheme="majorHAnsi"/>
          <w:color w:val="003366"/>
          <w:sz w:val="46"/>
          <w:szCs w:val="46"/>
        </w:rPr>
      </w:pPr>
      <w:r w:rsidRPr="000C1A49">
        <w:rPr>
          <w:rFonts w:asciiTheme="majorHAnsi" w:hAnsiTheme="majorHAnsi"/>
          <w:color w:val="003366"/>
          <w:sz w:val="46"/>
          <w:szCs w:val="46"/>
        </w:rPr>
        <w:t>Calculate each similar firm's PE ratio by dividing its current share price by its earnings per share last year</w:t>
      </w:r>
      <w:r>
        <w:rPr>
          <w:rFonts w:asciiTheme="majorHAnsi" w:hAnsiTheme="majorHAnsi"/>
          <w:color w:val="003366"/>
          <w:sz w:val="46"/>
          <w:szCs w:val="46"/>
        </w:rPr>
        <w:t xml:space="preserve"> (</w:t>
      </w:r>
      <w:r w:rsidRPr="000C1A49">
        <w:rPr>
          <w:rFonts w:asciiTheme="majorHAnsi" w:hAnsiTheme="majorHAnsi"/>
          <w:color w:val="003366"/>
          <w:sz w:val="46"/>
          <w:szCs w:val="46"/>
        </w:rPr>
        <w:t>historical</w:t>
      </w:r>
      <w:r>
        <w:rPr>
          <w:rFonts w:asciiTheme="majorHAnsi" w:hAnsiTheme="majorHAnsi"/>
          <w:color w:val="003366"/>
          <w:sz w:val="46"/>
          <w:szCs w:val="46"/>
        </w:rPr>
        <w:t xml:space="preserve"> EPS)</w:t>
      </w:r>
      <w:r w:rsidRPr="000C1A49">
        <w:rPr>
          <w:rFonts w:asciiTheme="majorHAnsi" w:hAnsiTheme="majorHAnsi"/>
          <w:color w:val="003366"/>
          <w:sz w:val="46"/>
          <w:szCs w:val="46"/>
        </w:rPr>
        <w:t xml:space="preserve">. Calculate the average of all of the similar firms' PE ratios. If any firms had negative </w:t>
      </w:r>
      <w:r>
        <w:rPr>
          <w:rFonts w:asciiTheme="majorHAnsi" w:hAnsiTheme="majorHAnsi"/>
          <w:color w:val="003366"/>
          <w:sz w:val="46"/>
          <w:szCs w:val="46"/>
        </w:rPr>
        <w:t>EPS</w:t>
      </w:r>
      <w:r w:rsidRPr="000C1A49">
        <w:rPr>
          <w:rFonts w:asciiTheme="majorHAnsi" w:hAnsiTheme="majorHAnsi"/>
          <w:color w:val="003366"/>
          <w:sz w:val="46"/>
          <w:szCs w:val="46"/>
        </w:rPr>
        <w:t xml:space="preserve"> or </w:t>
      </w:r>
      <w:r>
        <w:rPr>
          <w:rFonts w:asciiTheme="majorHAnsi" w:hAnsiTheme="majorHAnsi"/>
          <w:color w:val="003366"/>
          <w:sz w:val="46"/>
          <w:szCs w:val="46"/>
        </w:rPr>
        <w:t>EPS</w:t>
      </w:r>
      <w:r w:rsidRPr="000C1A49">
        <w:rPr>
          <w:rFonts w:asciiTheme="majorHAnsi" w:hAnsiTheme="majorHAnsi"/>
          <w:color w:val="003366"/>
          <w:sz w:val="46"/>
          <w:szCs w:val="46"/>
        </w:rPr>
        <w:t xml:space="preserve"> close to zero, then the</w:t>
      </w:r>
      <w:r>
        <w:rPr>
          <w:rFonts w:asciiTheme="majorHAnsi" w:hAnsiTheme="majorHAnsi"/>
          <w:color w:val="003366"/>
          <w:sz w:val="46"/>
          <w:szCs w:val="46"/>
        </w:rPr>
        <w:t>ir</w:t>
      </w:r>
      <w:r w:rsidRPr="000C1A49">
        <w:rPr>
          <w:rFonts w:asciiTheme="majorHAnsi" w:hAnsiTheme="majorHAnsi"/>
          <w:color w:val="003366"/>
          <w:sz w:val="46"/>
          <w:szCs w:val="46"/>
        </w:rPr>
        <w:t xml:space="preserve"> PE ratios will be negative or </w:t>
      </w:r>
      <w:r>
        <w:rPr>
          <w:rFonts w:asciiTheme="majorHAnsi" w:hAnsiTheme="majorHAnsi"/>
          <w:color w:val="003366"/>
          <w:sz w:val="46"/>
          <w:szCs w:val="46"/>
        </w:rPr>
        <w:t>extremely</w:t>
      </w:r>
      <w:r w:rsidRPr="000C1A49">
        <w:rPr>
          <w:rFonts w:asciiTheme="majorHAnsi" w:hAnsiTheme="majorHAnsi"/>
          <w:color w:val="003366"/>
          <w:sz w:val="46"/>
          <w:szCs w:val="46"/>
        </w:rPr>
        <w:t xml:space="preserve"> large so they should be excluded from the average.</w:t>
      </w:r>
    </w:p>
    <w:p w:rsidR="00B94990" w:rsidRPr="00530C85" w:rsidRDefault="00B94990" w:rsidP="00B94990">
      <w:pPr>
        <w:pStyle w:val="ListParagraph"/>
        <w:numPr>
          <w:ilvl w:val="0"/>
          <w:numId w:val="5"/>
        </w:numPr>
        <w:spacing w:after="200" w:line="276" w:lineRule="auto"/>
        <w:rPr>
          <w:rFonts w:asciiTheme="majorHAnsi" w:hAnsiTheme="majorHAnsi"/>
          <w:color w:val="003366"/>
          <w:sz w:val="46"/>
          <w:szCs w:val="46"/>
        </w:rPr>
      </w:pPr>
      <w:r w:rsidRPr="00640F9A">
        <w:rPr>
          <w:rFonts w:asciiTheme="majorHAnsi" w:hAnsiTheme="majorHAnsi"/>
          <w:color w:val="003366"/>
          <w:sz w:val="46"/>
          <w:szCs w:val="46"/>
        </w:rPr>
        <w:t xml:space="preserve">Multiply </w:t>
      </w:r>
      <w:r>
        <w:rPr>
          <w:rFonts w:asciiTheme="majorHAnsi" w:hAnsiTheme="majorHAnsi"/>
          <w:color w:val="003366"/>
          <w:sz w:val="46"/>
          <w:szCs w:val="46"/>
        </w:rPr>
        <w:t>XYZ's</w:t>
      </w:r>
      <w:r w:rsidRPr="00640F9A">
        <w:rPr>
          <w:rFonts w:asciiTheme="majorHAnsi" w:hAnsiTheme="majorHAnsi"/>
          <w:color w:val="003366"/>
          <w:sz w:val="46"/>
          <w:szCs w:val="46"/>
        </w:rPr>
        <w:t xml:space="preserve"> </w:t>
      </w:r>
      <w:r>
        <w:rPr>
          <w:rFonts w:asciiTheme="majorHAnsi" w:hAnsiTheme="majorHAnsi"/>
          <w:color w:val="003366"/>
          <w:sz w:val="46"/>
          <w:szCs w:val="46"/>
        </w:rPr>
        <w:t>EPS</w:t>
      </w:r>
      <w:r w:rsidRPr="00640F9A">
        <w:rPr>
          <w:rFonts w:asciiTheme="majorHAnsi" w:hAnsiTheme="majorHAnsi"/>
          <w:color w:val="003366"/>
          <w:sz w:val="46"/>
          <w:szCs w:val="46"/>
        </w:rPr>
        <w:t xml:space="preserve"> last year by the average PE ratio of similar firms. This will give the share price of </w:t>
      </w:r>
      <w:r>
        <w:rPr>
          <w:rFonts w:asciiTheme="majorHAnsi" w:hAnsiTheme="majorHAnsi"/>
          <w:color w:val="003366"/>
          <w:sz w:val="46"/>
          <w:szCs w:val="46"/>
        </w:rPr>
        <w:t>XYZ now</w:t>
      </w:r>
      <w:r w:rsidRPr="00640F9A">
        <w:rPr>
          <w:rFonts w:asciiTheme="majorHAnsi" w:hAnsiTheme="majorHAnsi"/>
          <w:color w:val="003366"/>
          <w:sz w:val="46"/>
          <w:szCs w:val="46"/>
        </w:rPr>
        <w:t>.</w:t>
      </w:r>
      <w:r>
        <w:rPr>
          <w:rFonts w:asciiTheme="majorHAnsi" w:hAnsiTheme="majorHAnsi"/>
          <w:color w:val="003366"/>
          <w:sz w:val="46"/>
          <w:szCs w:val="46"/>
        </w:rPr>
        <w:t xml:space="preserve"> Multiplying by the number of shares gives XYZ’s market capitalisation of equity.</w:t>
      </w:r>
    </w:p>
    <w:p w:rsidR="00B94990" w:rsidRDefault="00B94990" w:rsidP="00B94990">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Backward versus Forward Looking PE Ratios</w:t>
      </w:r>
    </w:p>
    <w:p w:rsidR="00B94990" w:rsidRDefault="00B94990" w:rsidP="00B94990">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 the above steps we valued our firm using 'backward looking' PE ratios since we used last year’s EPS, also known as ‘historical’ EPS. This gives PE ratios which are accurate but stale since they reflect the past, not the future which is what we're interested in. </w:t>
      </w:r>
    </w:p>
    <w:p w:rsidR="00B94990" w:rsidRDefault="00B94990" w:rsidP="00B94990">
      <w:pPr>
        <w:spacing w:after="200" w:line="276" w:lineRule="auto"/>
        <w:rPr>
          <w:rFonts w:asciiTheme="majorHAnsi" w:hAnsiTheme="majorHAnsi"/>
          <w:color w:val="003366"/>
          <w:sz w:val="52"/>
          <w:szCs w:val="52"/>
        </w:rPr>
      </w:pPr>
      <w:r>
        <w:rPr>
          <w:rFonts w:asciiTheme="majorHAnsi" w:hAnsiTheme="majorHAnsi"/>
          <w:color w:val="003366"/>
          <w:sz w:val="52"/>
          <w:szCs w:val="52"/>
        </w:rPr>
        <w:t>Another way of doing PE ratio valuation is to use 'forward-looking' PE ratios by using next year's expected EPS which are more useful, but less accurate because. They are less accurate because next year's EPS is unknown so they are usually based on analysts' forecasts which can vary widely.</w:t>
      </w:r>
    </w:p>
    <w:p w:rsidR="00B94990" w:rsidRDefault="00B94990" w:rsidP="00B94990">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Multiples Valuation</w:t>
      </w:r>
    </w:p>
    <w:p w:rsidR="00B94990" w:rsidRDefault="00B94990" w:rsidP="00B94990">
      <w:pPr>
        <w:spacing w:after="200" w:line="276" w:lineRule="auto"/>
        <w:rPr>
          <w:rFonts w:asciiTheme="majorHAnsi" w:hAnsiTheme="majorHAnsi"/>
          <w:b/>
          <w:i/>
          <w:color w:val="800000"/>
          <w:sz w:val="72"/>
          <w:szCs w:val="72"/>
        </w:rPr>
      </w:pPr>
      <w:r w:rsidRPr="0013695C">
        <w:rPr>
          <w:rFonts w:asciiTheme="majorHAnsi" w:hAnsiTheme="majorHAnsi"/>
          <w:b/>
          <w:color w:val="003366"/>
          <w:sz w:val="52"/>
          <w:szCs w:val="52"/>
        </w:rPr>
        <w:t>Question:</w:t>
      </w:r>
      <w:r>
        <w:rPr>
          <w:rFonts w:asciiTheme="majorHAnsi" w:hAnsiTheme="majorHAnsi"/>
          <w:color w:val="003366"/>
          <w:sz w:val="52"/>
          <w:szCs w:val="52"/>
        </w:rPr>
        <w:t xml:space="preserve"> Estimate Westpac Bank's (WBC) </w:t>
      </w:r>
      <w:r w:rsidRPr="00E93CD8">
        <w:rPr>
          <w:rFonts w:asciiTheme="majorHAnsi" w:hAnsiTheme="majorHAnsi"/>
          <w:b/>
          <w:color w:val="003366"/>
          <w:sz w:val="52"/>
          <w:szCs w:val="52"/>
        </w:rPr>
        <w:t>share price</w:t>
      </w:r>
      <w:r>
        <w:rPr>
          <w:rFonts w:asciiTheme="majorHAnsi" w:hAnsiTheme="majorHAnsi"/>
          <w:color w:val="003366"/>
          <w:sz w:val="52"/>
          <w:szCs w:val="52"/>
        </w:rPr>
        <w:t xml:space="preserve"> using the comparable firms in the table.</w:t>
      </w:r>
    </w:p>
    <w:tbl>
      <w:tblPr>
        <w:tblW w:w="14343" w:type="dxa"/>
        <w:tblInd w:w="82" w:type="dxa"/>
        <w:tblLook w:val="04A0" w:firstRow="1" w:lastRow="0" w:firstColumn="1" w:lastColumn="0" w:noHBand="0" w:noVBand="1"/>
      </w:tblPr>
      <w:tblGrid>
        <w:gridCol w:w="8070"/>
        <w:gridCol w:w="1502"/>
        <w:gridCol w:w="1823"/>
        <w:gridCol w:w="1502"/>
        <w:gridCol w:w="1446"/>
      </w:tblGrid>
      <w:tr w:rsidR="00B94990" w:rsidRPr="00E93CD8" w:rsidTr="00B94990">
        <w:trPr>
          <w:trHeight w:val="675"/>
        </w:trPr>
        <w:tc>
          <w:tcPr>
            <w:tcW w:w="14343" w:type="dxa"/>
            <w:gridSpan w:val="5"/>
            <w:tcBorders>
              <w:top w:val="single" w:sz="4" w:space="0" w:color="auto"/>
              <w:left w:val="nil"/>
              <w:bottom w:val="single" w:sz="4" w:space="0" w:color="auto"/>
              <w:right w:val="nil"/>
            </w:tcBorders>
            <w:shd w:val="clear" w:color="auto" w:fill="auto"/>
            <w:noWrap/>
            <w:vAlign w:val="bottom"/>
            <w:hideMark/>
          </w:tcPr>
          <w:p w:rsidR="00B94990" w:rsidRPr="00E93CD8" w:rsidRDefault="00B94990" w:rsidP="00B94990">
            <w:pPr>
              <w:jc w:val="center"/>
              <w:rPr>
                <w:rFonts w:ascii="Calibri" w:hAnsi="Calibri"/>
                <w:color w:val="000000"/>
                <w:sz w:val="52"/>
                <w:szCs w:val="52"/>
                <w:lang w:val="en-AU" w:eastAsia="en-AU"/>
              </w:rPr>
            </w:pPr>
            <w:r w:rsidRPr="00E93CD8">
              <w:rPr>
                <w:rFonts w:ascii="Calibri" w:hAnsi="Calibri"/>
                <w:color w:val="000000"/>
                <w:sz w:val="52"/>
                <w:szCs w:val="52"/>
                <w:lang w:val="en-AU" w:eastAsia="en-AU"/>
              </w:rPr>
              <w:t xml:space="preserve">Australian Banks' </w:t>
            </w:r>
            <w:r>
              <w:rPr>
                <w:rFonts w:ascii="Calibri" w:hAnsi="Calibri"/>
                <w:color w:val="000000"/>
                <w:sz w:val="52"/>
                <w:szCs w:val="52"/>
                <w:lang w:val="en-AU" w:eastAsia="en-AU"/>
              </w:rPr>
              <w:t>Financial Details as at 28/2/14</w:t>
            </w:r>
          </w:p>
        </w:tc>
      </w:tr>
      <w:tr w:rsidR="00B94990" w:rsidRPr="00E93CD8" w:rsidTr="00B94990">
        <w:trPr>
          <w:trHeight w:val="675"/>
        </w:trPr>
        <w:tc>
          <w:tcPr>
            <w:tcW w:w="8070" w:type="dxa"/>
            <w:tcBorders>
              <w:top w:val="nil"/>
              <w:left w:val="nil"/>
              <w:bottom w:val="single" w:sz="4" w:space="0" w:color="auto"/>
              <w:right w:val="nil"/>
            </w:tcBorders>
            <w:shd w:val="clear" w:color="auto" w:fill="auto"/>
            <w:noWrap/>
            <w:vAlign w:val="bottom"/>
            <w:hideMark/>
          </w:tcPr>
          <w:p w:rsidR="00B94990" w:rsidRPr="00E93CD8" w:rsidRDefault="00B94990" w:rsidP="00B94990">
            <w:pPr>
              <w:rPr>
                <w:rFonts w:ascii="Calibri" w:hAnsi="Calibri"/>
                <w:color w:val="000000"/>
                <w:sz w:val="52"/>
                <w:szCs w:val="52"/>
                <w:lang w:val="en-AU" w:eastAsia="en-AU"/>
              </w:rPr>
            </w:pPr>
            <w:r w:rsidRPr="00E93CD8">
              <w:rPr>
                <w:rFonts w:ascii="Calibri" w:hAnsi="Calibri"/>
                <w:color w:val="000000"/>
                <w:sz w:val="52"/>
                <w:szCs w:val="52"/>
                <w:lang w:val="en-AU" w:eastAsia="en-AU"/>
              </w:rPr>
              <w:t> </w:t>
            </w:r>
          </w:p>
        </w:tc>
        <w:tc>
          <w:tcPr>
            <w:tcW w:w="1502" w:type="dxa"/>
            <w:tcBorders>
              <w:top w:val="nil"/>
              <w:left w:val="nil"/>
              <w:bottom w:val="single" w:sz="4" w:space="0" w:color="auto"/>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ANZ</w:t>
            </w:r>
          </w:p>
        </w:tc>
        <w:tc>
          <w:tcPr>
            <w:tcW w:w="1823" w:type="dxa"/>
            <w:tcBorders>
              <w:top w:val="nil"/>
              <w:left w:val="nil"/>
              <w:bottom w:val="single" w:sz="4" w:space="0" w:color="auto"/>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CBA</w:t>
            </w:r>
          </w:p>
        </w:tc>
        <w:tc>
          <w:tcPr>
            <w:tcW w:w="1502" w:type="dxa"/>
            <w:tcBorders>
              <w:top w:val="nil"/>
              <w:left w:val="nil"/>
              <w:bottom w:val="single" w:sz="4" w:space="0" w:color="auto"/>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NAB</w:t>
            </w:r>
          </w:p>
        </w:tc>
        <w:tc>
          <w:tcPr>
            <w:tcW w:w="1446" w:type="dxa"/>
            <w:tcBorders>
              <w:top w:val="nil"/>
              <w:left w:val="nil"/>
              <w:bottom w:val="single" w:sz="4" w:space="0" w:color="auto"/>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WBC</w:t>
            </w:r>
          </w:p>
        </w:tc>
      </w:tr>
      <w:tr w:rsidR="00B94990" w:rsidRPr="00E93CD8" w:rsidTr="00B94990">
        <w:trPr>
          <w:trHeight w:val="675"/>
        </w:trPr>
        <w:tc>
          <w:tcPr>
            <w:tcW w:w="8070" w:type="dxa"/>
            <w:tcBorders>
              <w:top w:val="nil"/>
              <w:left w:val="nil"/>
              <w:bottom w:val="nil"/>
              <w:right w:val="nil"/>
            </w:tcBorders>
            <w:shd w:val="clear" w:color="auto" w:fill="auto"/>
            <w:noWrap/>
            <w:vAlign w:val="bottom"/>
            <w:hideMark/>
          </w:tcPr>
          <w:p w:rsidR="00B94990" w:rsidRPr="00E93CD8" w:rsidRDefault="00B94990" w:rsidP="00B94990">
            <w:pPr>
              <w:rPr>
                <w:rFonts w:ascii="Calibri" w:hAnsi="Calibri"/>
                <w:color w:val="000000"/>
                <w:sz w:val="52"/>
                <w:szCs w:val="52"/>
                <w:lang w:val="en-AU" w:eastAsia="en-AU"/>
              </w:rPr>
            </w:pPr>
            <w:r w:rsidRPr="00E93CD8">
              <w:rPr>
                <w:rFonts w:ascii="Calibri" w:hAnsi="Calibri"/>
                <w:color w:val="000000"/>
                <w:sz w:val="52"/>
                <w:szCs w:val="52"/>
                <w:lang w:val="en-AU" w:eastAsia="en-AU"/>
              </w:rPr>
              <w:t>Share price ($)</w:t>
            </w:r>
          </w:p>
        </w:tc>
        <w:tc>
          <w:tcPr>
            <w:tcW w:w="1502"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32.14</w:t>
            </w:r>
          </w:p>
        </w:tc>
        <w:tc>
          <w:tcPr>
            <w:tcW w:w="1823"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74.66</w:t>
            </w:r>
          </w:p>
        </w:tc>
        <w:tc>
          <w:tcPr>
            <w:tcW w:w="1502"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34.74</w:t>
            </w:r>
          </w:p>
        </w:tc>
        <w:tc>
          <w:tcPr>
            <w:tcW w:w="1446"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w:t>
            </w:r>
          </w:p>
        </w:tc>
      </w:tr>
      <w:tr w:rsidR="00B94990" w:rsidRPr="00E93CD8" w:rsidTr="00B94990">
        <w:trPr>
          <w:trHeight w:val="675"/>
        </w:trPr>
        <w:tc>
          <w:tcPr>
            <w:tcW w:w="8070" w:type="dxa"/>
            <w:tcBorders>
              <w:top w:val="nil"/>
              <w:left w:val="nil"/>
              <w:bottom w:val="nil"/>
              <w:right w:val="nil"/>
            </w:tcBorders>
            <w:shd w:val="clear" w:color="auto" w:fill="auto"/>
            <w:noWrap/>
            <w:vAlign w:val="bottom"/>
            <w:hideMark/>
          </w:tcPr>
          <w:p w:rsidR="00B94990" w:rsidRPr="00E93CD8" w:rsidRDefault="00B94990" w:rsidP="00B94990">
            <w:pPr>
              <w:rPr>
                <w:rFonts w:ascii="Calibri" w:hAnsi="Calibri"/>
                <w:color w:val="000000"/>
                <w:sz w:val="52"/>
                <w:szCs w:val="52"/>
                <w:lang w:val="en-AU" w:eastAsia="en-AU"/>
              </w:rPr>
            </w:pPr>
            <w:r w:rsidRPr="00E93CD8">
              <w:rPr>
                <w:rFonts w:ascii="Calibri" w:hAnsi="Calibri"/>
                <w:color w:val="000000"/>
                <w:sz w:val="52"/>
                <w:szCs w:val="52"/>
                <w:lang w:val="en-AU" w:eastAsia="en-AU"/>
              </w:rPr>
              <w:t>Historical EPS ($)</w:t>
            </w:r>
          </w:p>
        </w:tc>
        <w:tc>
          <w:tcPr>
            <w:tcW w:w="1502"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2.24</w:t>
            </w:r>
          </w:p>
        </w:tc>
        <w:tc>
          <w:tcPr>
            <w:tcW w:w="1823"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4.94</w:t>
            </w:r>
          </w:p>
        </w:tc>
        <w:tc>
          <w:tcPr>
            <w:tcW w:w="1502"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2.26</w:t>
            </w:r>
          </w:p>
        </w:tc>
        <w:tc>
          <w:tcPr>
            <w:tcW w:w="1446"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2.15</w:t>
            </w:r>
          </w:p>
        </w:tc>
      </w:tr>
      <w:tr w:rsidR="00B94990" w:rsidRPr="00E93CD8" w:rsidTr="00B94990">
        <w:trPr>
          <w:trHeight w:val="675"/>
        </w:trPr>
        <w:tc>
          <w:tcPr>
            <w:tcW w:w="8070" w:type="dxa"/>
            <w:tcBorders>
              <w:top w:val="nil"/>
              <w:left w:val="nil"/>
              <w:bottom w:val="nil"/>
              <w:right w:val="nil"/>
            </w:tcBorders>
            <w:shd w:val="clear" w:color="auto" w:fill="auto"/>
            <w:noWrap/>
            <w:vAlign w:val="bottom"/>
            <w:hideMark/>
          </w:tcPr>
          <w:p w:rsidR="00B94990" w:rsidRPr="00E93CD8" w:rsidRDefault="00B94990" w:rsidP="00B94990">
            <w:pPr>
              <w:rPr>
                <w:rFonts w:ascii="Calibri" w:hAnsi="Calibri"/>
                <w:color w:val="000000"/>
                <w:sz w:val="52"/>
                <w:szCs w:val="52"/>
                <w:lang w:val="en-AU" w:eastAsia="en-AU"/>
              </w:rPr>
            </w:pPr>
            <w:r w:rsidRPr="00E93CD8">
              <w:rPr>
                <w:rFonts w:ascii="Calibri" w:hAnsi="Calibri"/>
                <w:color w:val="000000"/>
                <w:sz w:val="52"/>
                <w:szCs w:val="52"/>
                <w:lang w:val="en-AU" w:eastAsia="en-AU"/>
              </w:rPr>
              <w:t>Number of shares (billion)</w:t>
            </w:r>
          </w:p>
        </w:tc>
        <w:tc>
          <w:tcPr>
            <w:tcW w:w="1502"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2.72</w:t>
            </w:r>
          </w:p>
        </w:tc>
        <w:tc>
          <w:tcPr>
            <w:tcW w:w="1823"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1.61</w:t>
            </w:r>
          </w:p>
        </w:tc>
        <w:tc>
          <w:tcPr>
            <w:tcW w:w="1502"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2.29</w:t>
            </w:r>
          </w:p>
        </w:tc>
        <w:tc>
          <w:tcPr>
            <w:tcW w:w="1446"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3.10</w:t>
            </w:r>
          </w:p>
        </w:tc>
      </w:tr>
      <w:tr w:rsidR="00B94990" w:rsidRPr="00E93CD8" w:rsidTr="00B94990">
        <w:trPr>
          <w:trHeight w:val="675"/>
        </w:trPr>
        <w:tc>
          <w:tcPr>
            <w:tcW w:w="8070" w:type="dxa"/>
            <w:tcBorders>
              <w:top w:val="nil"/>
              <w:left w:val="nil"/>
              <w:bottom w:val="nil"/>
              <w:right w:val="nil"/>
            </w:tcBorders>
            <w:shd w:val="clear" w:color="auto" w:fill="auto"/>
            <w:noWrap/>
            <w:vAlign w:val="bottom"/>
            <w:hideMark/>
          </w:tcPr>
          <w:p w:rsidR="00B94990" w:rsidRPr="00E93CD8" w:rsidRDefault="00B94990" w:rsidP="00B94990">
            <w:pPr>
              <w:rPr>
                <w:rFonts w:ascii="Calibri" w:hAnsi="Calibri"/>
                <w:color w:val="000000"/>
                <w:sz w:val="52"/>
                <w:szCs w:val="52"/>
                <w:lang w:val="en-AU" w:eastAsia="en-AU"/>
              </w:rPr>
            </w:pPr>
            <w:r w:rsidRPr="00E93CD8">
              <w:rPr>
                <w:rFonts w:ascii="Calibri" w:hAnsi="Calibri"/>
                <w:color w:val="000000"/>
                <w:sz w:val="52"/>
                <w:szCs w:val="52"/>
                <w:lang w:val="en-AU" w:eastAsia="en-AU"/>
              </w:rPr>
              <w:t>Market cap of equity ($ billion)</w:t>
            </w:r>
          </w:p>
        </w:tc>
        <w:tc>
          <w:tcPr>
            <w:tcW w:w="1502"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87.42</w:t>
            </w:r>
          </w:p>
        </w:tc>
        <w:tc>
          <w:tcPr>
            <w:tcW w:w="1823"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120.20</w:t>
            </w:r>
          </w:p>
        </w:tc>
        <w:tc>
          <w:tcPr>
            <w:tcW w:w="1502"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79.55</w:t>
            </w:r>
          </w:p>
        </w:tc>
        <w:tc>
          <w:tcPr>
            <w:tcW w:w="1446"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Pr>
                <w:rFonts w:ascii="Calibri" w:hAnsi="Calibri"/>
                <w:color w:val="000000"/>
                <w:sz w:val="52"/>
                <w:szCs w:val="52"/>
                <w:lang w:val="en-AU" w:eastAsia="en-AU"/>
              </w:rPr>
              <w:t>?</w:t>
            </w:r>
          </w:p>
        </w:tc>
      </w:tr>
      <w:tr w:rsidR="00B94990" w:rsidRPr="00E93CD8" w:rsidTr="00B94990">
        <w:trPr>
          <w:trHeight w:val="675"/>
        </w:trPr>
        <w:tc>
          <w:tcPr>
            <w:tcW w:w="8070" w:type="dxa"/>
            <w:tcBorders>
              <w:top w:val="nil"/>
              <w:left w:val="nil"/>
              <w:bottom w:val="nil"/>
              <w:right w:val="nil"/>
            </w:tcBorders>
            <w:shd w:val="clear" w:color="auto" w:fill="auto"/>
            <w:noWrap/>
            <w:vAlign w:val="bottom"/>
            <w:hideMark/>
          </w:tcPr>
          <w:p w:rsidR="00B94990" w:rsidRPr="00E93CD8" w:rsidRDefault="00B94990" w:rsidP="00B94990">
            <w:pPr>
              <w:rPr>
                <w:rFonts w:ascii="Calibri" w:hAnsi="Calibri"/>
                <w:color w:val="000000"/>
                <w:sz w:val="52"/>
                <w:szCs w:val="52"/>
                <w:lang w:val="en-AU" w:eastAsia="en-AU"/>
              </w:rPr>
            </w:pPr>
            <w:r w:rsidRPr="00E93CD8">
              <w:rPr>
                <w:rFonts w:ascii="Calibri" w:hAnsi="Calibri"/>
                <w:color w:val="000000"/>
                <w:sz w:val="52"/>
                <w:szCs w:val="52"/>
                <w:lang w:val="en-AU" w:eastAsia="en-AU"/>
              </w:rPr>
              <w:t>Historical net income ($ billion)</w:t>
            </w:r>
          </w:p>
        </w:tc>
        <w:tc>
          <w:tcPr>
            <w:tcW w:w="1502"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6.09</w:t>
            </w:r>
          </w:p>
        </w:tc>
        <w:tc>
          <w:tcPr>
            <w:tcW w:w="1823"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7.95</w:t>
            </w:r>
          </w:p>
        </w:tc>
        <w:tc>
          <w:tcPr>
            <w:tcW w:w="1502"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5.18</w:t>
            </w:r>
          </w:p>
        </w:tc>
        <w:tc>
          <w:tcPr>
            <w:tcW w:w="1446"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Pr>
                <w:rFonts w:ascii="Calibri" w:hAnsi="Calibri"/>
                <w:color w:val="000000"/>
                <w:sz w:val="52"/>
                <w:szCs w:val="52"/>
                <w:lang w:val="en-AU" w:eastAsia="en-AU"/>
              </w:rPr>
              <w:t>?</w:t>
            </w:r>
          </w:p>
        </w:tc>
      </w:tr>
      <w:tr w:rsidR="00B94990" w:rsidRPr="00E93CD8" w:rsidTr="00B94990">
        <w:trPr>
          <w:trHeight w:val="675"/>
        </w:trPr>
        <w:tc>
          <w:tcPr>
            <w:tcW w:w="8070" w:type="dxa"/>
            <w:tcBorders>
              <w:top w:val="nil"/>
              <w:left w:val="nil"/>
              <w:bottom w:val="nil"/>
              <w:right w:val="nil"/>
            </w:tcBorders>
            <w:shd w:val="clear" w:color="auto" w:fill="auto"/>
            <w:noWrap/>
            <w:vAlign w:val="bottom"/>
            <w:hideMark/>
          </w:tcPr>
          <w:p w:rsidR="00B94990" w:rsidRPr="00E93CD8" w:rsidRDefault="00B94990" w:rsidP="00B94990">
            <w:pPr>
              <w:rPr>
                <w:rFonts w:ascii="Calibri" w:hAnsi="Calibri"/>
                <w:color w:val="000000"/>
                <w:sz w:val="52"/>
                <w:szCs w:val="52"/>
                <w:lang w:val="en-AU" w:eastAsia="en-AU"/>
              </w:rPr>
            </w:pPr>
            <w:r w:rsidRPr="00E93CD8">
              <w:rPr>
                <w:rFonts w:ascii="Calibri" w:hAnsi="Calibri"/>
                <w:color w:val="000000"/>
                <w:sz w:val="52"/>
                <w:szCs w:val="52"/>
                <w:lang w:val="en-AU" w:eastAsia="en-AU"/>
              </w:rPr>
              <w:t>PE ratio, backward looking</w:t>
            </w:r>
          </w:p>
        </w:tc>
        <w:tc>
          <w:tcPr>
            <w:tcW w:w="1502"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14.35</w:t>
            </w:r>
          </w:p>
        </w:tc>
        <w:tc>
          <w:tcPr>
            <w:tcW w:w="1823"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15.11</w:t>
            </w:r>
          </w:p>
        </w:tc>
        <w:tc>
          <w:tcPr>
            <w:tcW w:w="1502"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sidRPr="00E93CD8">
              <w:rPr>
                <w:rFonts w:ascii="Calibri" w:hAnsi="Calibri"/>
                <w:color w:val="000000"/>
                <w:sz w:val="52"/>
                <w:szCs w:val="52"/>
                <w:lang w:val="en-AU" w:eastAsia="en-AU"/>
              </w:rPr>
              <w:t>15.37</w:t>
            </w:r>
          </w:p>
        </w:tc>
        <w:tc>
          <w:tcPr>
            <w:tcW w:w="1446" w:type="dxa"/>
            <w:tcBorders>
              <w:top w:val="nil"/>
              <w:left w:val="nil"/>
              <w:bottom w:val="nil"/>
              <w:right w:val="nil"/>
            </w:tcBorders>
            <w:shd w:val="clear" w:color="auto" w:fill="auto"/>
            <w:noWrap/>
            <w:vAlign w:val="bottom"/>
            <w:hideMark/>
          </w:tcPr>
          <w:p w:rsidR="00B94990" w:rsidRPr="00E93CD8" w:rsidRDefault="00B94990" w:rsidP="00B94990">
            <w:pPr>
              <w:jc w:val="right"/>
              <w:rPr>
                <w:rFonts w:ascii="Calibri" w:hAnsi="Calibri"/>
                <w:color w:val="000000"/>
                <w:sz w:val="52"/>
                <w:szCs w:val="52"/>
                <w:lang w:val="en-AU" w:eastAsia="en-AU"/>
              </w:rPr>
            </w:pPr>
            <w:r>
              <w:rPr>
                <w:rFonts w:ascii="Calibri" w:hAnsi="Calibri"/>
                <w:color w:val="000000"/>
                <w:sz w:val="52"/>
                <w:szCs w:val="52"/>
                <w:lang w:val="en-AU" w:eastAsia="en-AU"/>
              </w:rPr>
              <w:t>?</w:t>
            </w:r>
          </w:p>
        </w:tc>
      </w:tr>
      <w:tr w:rsidR="00B94990" w:rsidRPr="00E93CD8" w:rsidTr="00B94990">
        <w:trPr>
          <w:trHeight w:val="675"/>
        </w:trPr>
        <w:tc>
          <w:tcPr>
            <w:tcW w:w="8070" w:type="dxa"/>
            <w:tcBorders>
              <w:top w:val="nil"/>
              <w:left w:val="nil"/>
              <w:bottom w:val="nil"/>
              <w:right w:val="nil"/>
            </w:tcBorders>
            <w:shd w:val="clear" w:color="auto" w:fill="auto"/>
            <w:noWrap/>
            <w:vAlign w:val="bottom"/>
            <w:hideMark/>
          </w:tcPr>
          <w:p w:rsidR="00B94990" w:rsidRPr="00530C85" w:rsidRDefault="00B94990" w:rsidP="00B94990">
            <w:pPr>
              <w:rPr>
                <w:rFonts w:ascii="Calibri" w:hAnsi="Calibri"/>
                <w:i/>
                <w:color w:val="000000"/>
                <w:sz w:val="44"/>
                <w:szCs w:val="44"/>
                <w:lang w:val="en-AU" w:eastAsia="en-AU"/>
              </w:rPr>
            </w:pPr>
            <w:r w:rsidRPr="00530C85">
              <w:rPr>
                <w:rFonts w:ascii="Calibri" w:hAnsi="Calibri"/>
                <w:i/>
                <w:color w:val="000000"/>
                <w:sz w:val="44"/>
                <w:szCs w:val="44"/>
                <w:lang w:val="en-AU" w:eastAsia="en-AU"/>
              </w:rPr>
              <w:t>Source: Google Finance.</w:t>
            </w:r>
          </w:p>
        </w:tc>
        <w:tc>
          <w:tcPr>
            <w:tcW w:w="1502" w:type="dxa"/>
            <w:tcBorders>
              <w:top w:val="nil"/>
              <w:left w:val="nil"/>
              <w:bottom w:val="nil"/>
              <w:right w:val="nil"/>
            </w:tcBorders>
            <w:shd w:val="clear" w:color="auto" w:fill="auto"/>
            <w:noWrap/>
            <w:vAlign w:val="bottom"/>
            <w:hideMark/>
          </w:tcPr>
          <w:p w:rsidR="00B94990" w:rsidRPr="00E93CD8" w:rsidRDefault="00B94990" w:rsidP="00B94990">
            <w:pPr>
              <w:rPr>
                <w:rFonts w:ascii="Calibri" w:hAnsi="Calibri"/>
                <w:color w:val="000000"/>
                <w:sz w:val="52"/>
                <w:szCs w:val="52"/>
                <w:lang w:val="en-AU" w:eastAsia="en-AU"/>
              </w:rPr>
            </w:pPr>
            <w:r w:rsidRPr="00E93CD8">
              <w:rPr>
                <w:rFonts w:ascii="Calibri" w:hAnsi="Calibri"/>
                <w:color w:val="000000"/>
                <w:sz w:val="52"/>
                <w:szCs w:val="52"/>
                <w:lang w:val="en-AU" w:eastAsia="en-AU"/>
              </w:rPr>
              <w:t> </w:t>
            </w:r>
          </w:p>
        </w:tc>
        <w:tc>
          <w:tcPr>
            <w:tcW w:w="1823" w:type="dxa"/>
            <w:tcBorders>
              <w:top w:val="nil"/>
              <w:left w:val="nil"/>
              <w:bottom w:val="nil"/>
              <w:right w:val="nil"/>
            </w:tcBorders>
            <w:shd w:val="clear" w:color="auto" w:fill="auto"/>
            <w:noWrap/>
            <w:vAlign w:val="bottom"/>
            <w:hideMark/>
          </w:tcPr>
          <w:p w:rsidR="00B94990" w:rsidRPr="00E93CD8" w:rsidRDefault="00B94990" w:rsidP="00B94990">
            <w:pPr>
              <w:rPr>
                <w:rFonts w:ascii="Calibri" w:hAnsi="Calibri"/>
                <w:color w:val="000000"/>
                <w:sz w:val="52"/>
                <w:szCs w:val="52"/>
                <w:lang w:val="en-AU" w:eastAsia="en-AU"/>
              </w:rPr>
            </w:pPr>
            <w:r w:rsidRPr="00E93CD8">
              <w:rPr>
                <w:rFonts w:ascii="Calibri" w:hAnsi="Calibri"/>
                <w:color w:val="000000"/>
                <w:sz w:val="52"/>
                <w:szCs w:val="52"/>
                <w:lang w:val="en-AU" w:eastAsia="en-AU"/>
              </w:rPr>
              <w:t> </w:t>
            </w:r>
          </w:p>
        </w:tc>
        <w:tc>
          <w:tcPr>
            <w:tcW w:w="1502" w:type="dxa"/>
            <w:tcBorders>
              <w:top w:val="nil"/>
              <w:left w:val="nil"/>
              <w:bottom w:val="nil"/>
              <w:right w:val="nil"/>
            </w:tcBorders>
            <w:shd w:val="clear" w:color="auto" w:fill="auto"/>
            <w:noWrap/>
            <w:vAlign w:val="bottom"/>
            <w:hideMark/>
          </w:tcPr>
          <w:p w:rsidR="00B94990" w:rsidRPr="00E93CD8" w:rsidRDefault="00B94990" w:rsidP="00B94990">
            <w:pPr>
              <w:rPr>
                <w:rFonts w:ascii="Calibri" w:hAnsi="Calibri"/>
                <w:color w:val="000000"/>
                <w:sz w:val="52"/>
                <w:szCs w:val="52"/>
                <w:lang w:val="en-AU" w:eastAsia="en-AU"/>
              </w:rPr>
            </w:pPr>
            <w:r w:rsidRPr="00E93CD8">
              <w:rPr>
                <w:rFonts w:ascii="Calibri" w:hAnsi="Calibri"/>
                <w:color w:val="000000"/>
                <w:sz w:val="52"/>
                <w:szCs w:val="52"/>
                <w:lang w:val="en-AU" w:eastAsia="en-AU"/>
              </w:rPr>
              <w:t> </w:t>
            </w:r>
          </w:p>
        </w:tc>
        <w:tc>
          <w:tcPr>
            <w:tcW w:w="1446" w:type="dxa"/>
            <w:tcBorders>
              <w:top w:val="nil"/>
              <w:left w:val="nil"/>
              <w:bottom w:val="nil"/>
              <w:right w:val="nil"/>
            </w:tcBorders>
            <w:shd w:val="clear" w:color="auto" w:fill="auto"/>
            <w:noWrap/>
            <w:vAlign w:val="bottom"/>
            <w:hideMark/>
          </w:tcPr>
          <w:p w:rsidR="00B94990" w:rsidRPr="00E93CD8" w:rsidRDefault="00B94990" w:rsidP="00B94990">
            <w:pPr>
              <w:rPr>
                <w:rFonts w:ascii="Calibri" w:hAnsi="Calibri"/>
                <w:color w:val="000000"/>
                <w:sz w:val="52"/>
                <w:szCs w:val="52"/>
                <w:lang w:val="en-AU" w:eastAsia="en-AU"/>
              </w:rPr>
            </w:pPr>
            <w:r w:rsidRPr="00E93CD8">
              <w:rPr>
                <w:rFonts w:ascii="Calibri" w:hAnsi="Calibri"/>
                <w:color w:val="000000"/>
                <w:sz w:val="52"/>
                <w:szCs w:val="52"/>
                <w:lang w:val="en-AU" w:eastAsia="en-AU"/>
              </w:rPr>
              <w:t> </w:t>
            </w:r>
          </w:p>
        </w:tc>
      </w:tr>
      <w:tr w:rsidR="00B94990" w:rsidRPr="00E93CD8" w:rsidTr="00B94990">
        <w:trPr>
          <w:trHeight w:val="675"/>
        </w:trPr>
        <w:tc>
          <w:tcPr>
            <w:tcW w:w="8070" w:type="dxa"/>
            <w:tcBorders>
              <w:top w:val="nil"/>
              <w:left w:val="nil"/>
              <w:bottom w:val="single" w:sz="4" w:space="0" w:color="auto"/>
              <w:right w:val="nil"/>
            </w:tcBorders>
            <w:shd w:val="clear" w:color="auto" w:fill="auto"/>
            <w:noWrap/>
            <w:vAlign w:val="bottom"/>
            <w:hideMark/>
          </w:tcPr>
          <w:p w:rsidR="00B94990" w:rsidRPr="00E93CD8" w:rsidRDefault="00B94990" w:rsidP="00B94990">
            <w:pPr>
              <w:rPr>
                <w:rFonts w:ascii="Calibri" w:hAnsi="Calibri"/>
                <w:color w:val="000000"/>
                <w:sz w:val="52"/>
                <w:szCs w:val="52"/>
                <w:lang w:val="en-AU" w:eastAsia="en-AU"/>
              </w:rPr>
            </w:pPr>
          </w:p>
        </w:tc>
        <w:tc>
          <w:tcPr>
            <w:tcW w:w="1502" w:type="dxa"/>
            <w:tcBorders>
              <w:top w:val="nil"/>
              <w:left w:val="nil"/>
              <w:bottom w:val="single" w:sz="4" w:space="0" w:color="auto"/>
              <w:right w:val="nil"/>
            </w:tcBorders>
            <w:shd w:val="clear" w:color="auto" w:fill="auto"/>
            <w:noWrap/>
            <w:vAlign w:val="bottom"/>
            <w:hideMark/>
          </w:tcPr>
          <w:p w:rsidR="00B94990" w:rsidRPr="00E93CD8" w:rsidRDefault="00B94990" w:rsidP="00B94990">
            <w:pPr>
              <w:rPr>
                <w:rFonts w:ascii="Calibri" w:hAnsi="Calibri"/>
                <w:color w:val="000000"/>
                <w:sz w:val="52"/>
                <w:szCs w:val="52"/>
                <w:lang w:val="en-AU" w:eastAsia="en-AU"/>
              </w:rPr>
            </w:pPr>
          </w:p>
        </w:tc>
        <w:tc>
          <w:tcPr>
            <w:tcW w:w="1823" w:type="dxa"/>
            <w:tcBorders>
              <w:top w:val="nil"/>
              <w:left w:val="nil"/>
              <w:bottom w:val="single" w:sz="4" w:space="0" w:color="auto"/>
              <w:right w:val="nil"/>
            </w:tcBorders>
            <w:shd w:val="clear" w:color="auto" w:fill="auto"/>
            <w:noWrap/>
            <w:vAlign w:val="bottom"/>
            <w:hideMark/>
          </w:tcPr>
          <w:p w:rsidR="00B94990" w:rsidRPr="00E93CD8" w:rsidRDefault="00B94990" w:rsidP="00B94990">
            <w:pPr>
              <w:rPr>
                <w:rFonts w:ascii="Calibri" w:hAnsi="Calibri"/>
                <w:color w:val="000000"/>
                <w:sz w:val="52"/>
                <w:szCs w:val="52"/>
                <w:lang w:val="en-AU" w:eastAsia="en-AU"/>
              </w:rPr>
            </w:pPr>
          </w:p>
        </w:tc>
        <w:tc>
          <w:tcPr>
            <w:tcW w:w="1502" w:type="dxa"/>
            <w:tcBorders>
              <w:top w:val="nil"/>
              <w:left w:val="nil"/>
              <w:bottom w:val="single" w:sz="4" w:space="0" w:color="auto"/>
              <w:right w:val="nil"/>
            </w:tcBorders>
            <w:shd w:val="clear" w:color="auto" w:fill="auto"/>
            <w:noWrap/>
            <w:vAlign w:val="bottom"/>
            <w:hideMark/>
          </w:tcPr>
          <w:p w:rsidR="00B94990" w:rsidRPr="00E93CD8" w:rsidRDefault="00B94990" w:rsidP="00B94990">
            <w:pPr>
              <w:rPr>
                <w:rFonts w:ascii="Calibri" w:hAnsi="Calibri"/>
                <w:color w:val="000000"/>
                <w:sz w:val="52"/>
                <w:szCs w:val="52"/>
                <w:lang w:val="en-AU" w:eastAsia="en-AU"/>
              </w:rPr>
            </w:pPr>
          </w:p>
        </w:tc>
        <w:tc>
          <w:tcPr>
            <w:tcW w:w="1446" w:type="dxa"/>
            <w:tcBorders>
              <w:top w:val="nil"/>
              <w:left w:val="nil"/>
              <w:bottom w:val="single" w:sz="4" w:space="0" w:color="auto"/>
              <w:right w:val="nil"/>
            </w:tcBorders>
            <w:shd w:val="clear" w:color="auto" w:fill="auto"/>
            <w:noWrap/>
            <w:vAlign w:val="bottom"/>
            <w:hideMark/>
          </w:tcPr>
          <w:p w:rsidR="00B94990" w:rsidRPr="00E93CD8" w:rsidRDefault="00B94990" w:rsidP="00B94990">
            <w:pPr>
              <w:rPr>
                <w:rFonts w:ascii="Calibri" w:hAnsi="Calibri"/>
                <w:color w:val="000000"/>
                <w:sz w:val="52"/>
                <w:szCs w:val="52"/>
                <w:lang w:val="en-AU" w:eastAsia="en-AU"/>
              </w:rPr>
            </w:pPr>
          </w:p>
        </w:tc>
      </w:tr>
    </w:tbl>
    <w:p w:rsidR="00B94990" w:rsidRDefault="00B94990" w:rsidP="00B94990">
      <w:pPr>
        <w:spacing w:after="200" w:line="276" w:lineRule="auto"/>
        <w:rPr>
          <w:rFonts w:asciiTheme="majorHAnsi" w:hAnsiTheme="majorHAnsi"/>
          <w:color w:val="003366"/>
          <w:sz w:val="52"/>
          <w:szCs w:val="52"/>
        </w:rPr>
      </w:pPr>
      <w:r>
        <w:rPr>
          <w:rFonts w:asciiTheme="majorHAnsi" w:hAnsiTheme="majorHAnsi"/>
          <w:b/>
          <w:i/>
          <w:color w:val="800000"/>
          <w:sz w:val="72"/>
          <w:szCs w:val="72"/>
        </w:rPr>
        <w:br w:type="page"/>
      </w:r>
      <w:r>
        <w:rPr>
          <w:rFonts w:asciiTheme="majorHAnsi" w:hAnsiTheme="majorHAnsi"/>
          <w:b/>
          <w:color w:val="003366"/>
          <w:sz w:val="52"/>
          <w:szCs w:val="52"/>
        </w:rPr>
        <w:lastRenderedPageBreak/>
        <w:t>Answer</w:t>
      </w:r>
      <w:r w:rsidRPr="0013695C">
        <w:rPr>
          <w:rFonts w:asciiTheme="majorHAnsi" w:hAnsiTheme="majorHAnsi"/>
          <w:b/>
          <w:color w:val="003366"/>
          <w:sz w:val="52"/>
          <w:szCs w:val="52"/>
        </w:rPr>
        <w:t>:</w:t>
      </w:r>
      <w:r>
        <w:rPr>
          <w:rFonts w:asciiTheme="majorHAnsi" w:hAnsiTheme="majorHAnsi"/>
          <w:color w:val="003366"/>
          <w:sz w:val="52"/>
          <w:szCs w:val="52"/>
        </w:rPr>
        <w:t xml:space="preserve"> The other major Australian banks are comparable to Westpac so a PE ratio approach will work. Westpac's estimated share price equals the average of the comparable firms' PE ratios, all multiplied by Westpac's earnings per share:</w:t>
      </w:r>
    </w:p>
    <w:p w:rsidR="00B94990" w:rsidRDefault="00EC1CBD" w:rsidP="00B94990">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color w:val="003366"/>
                  <w:sz w:val="52"/>
                  <w:szCs w:val="52"/>
                </w:rPr>
              </m:ctrlPr>
            </m:sSubPr>
            <m:e>
              <m:r>
                <m:rPr>
                  <m:sty m:val="p"/>
                </m:rPr>
                <w:rPr>
                  <w:rFonts w:ascii="Cambria Math" w:hAnsi="Cambria Math"/>
                  <w:color w:val="003366"/>
                  <w:sz w:val="52"/>
                  <w:szCs w:val="52"/>
                </w:rPr>
                <m:t>P</m:t>
              </m:r>
            </m:e>
            <m:sub>
              <m:r>
                <m:rPr>
                  <m:sty m:val="p"/>
                </m:rPr>
                <w:rPr>
                  <w:rFonts w:ascii="Cambria Math" w:hAnsi="Cambria Math"/>
                  <w:color w:val="003366"/>
                  <w:sz w:val="52"/>
                  <w:szCs w:val="52"/>
                </w:rPr>
                <m:t>WBC</m:t>
              </m:r>
            </m:sub>
          </m:sSub>
          <m:r>
            <m:rPr>
              <m:sty m:val="p"/>
            </m:rPr>
            <w:rPr>
              <w:rFonts w:ascii="Cambria Math" w:hAnsi="Cambria Math"/>
              <w:color w:val="003366"/>
              <w:sz w:val="52"/>
              <w:szCs w:val="52"/>
            </w:rPr>
            <m:t xml:space="preserve">=Average of comparable </m:t>
          </m:r>
          <m:sSup>
            <m:sSupPr>
              <m:ctrlPr>
                <w:rPr>
                  <w:rFonts w:ascii="Cambria Math" w:hAnsi="Cambria Math"/>
                  <w:color w:val="003366"/>
                  <w:sz w:val="52"/>
                  <w:szCs w:val="52"/>
                </w:rPr>
              </m:ctrlPr>
            </m:sSupPr>
            <m:e>
              <m:r>
                <m:rPr>
                  <m:sty m:val="p"/>
                </m:rPr>
                <w:rPr>
                  <w:rFonts w:ascii="Cambria Math" w:hAnsi="Cambria Math"/>
                  <w:color w:val="003366"/>
                  <w:sz w:val="52"/>
                  <w:szCs w:val="52"/>
                </w:rPr>
                <m:t>firms</m:t>
              </m:r>
            </m:e>
            <m:sup>
              <m:r>
                <m:rPr>
                  <m:sty m:val="p"/>
                </m:rPr>
                <w:rPr>
                  <w:rFonts w:ascii="Cambria Math" w:hAnsi="Cambria Math"/>
                  <w:color w:val="003366"/>
                  <w:sz w:val="52"/>
                  <w:szCs w:val="52"/>
                </w:rPr>
                <m:t>'</m:t>
              </m:r>
            </m:sup>
          </m:sSup>
          <m:r>
            <m:rPr>
              <m:sty m:val="p"/>
            </m:rPr>
            <w:rPr>
              <w:rFonts w:ascii="Cambria Math" w:hAnsi="Cambria Math"/>
              <w:color w:val="003366"/>
              <w:sz w:val="52"/>
              <w:szCs w:val="52"/>
            </w:rPr>
            <m:t xml:space="preserve"> PE ratios×</m:t>
          </m:r>
          <m:sSub>
            <m:sSubPr>
              <m:ctrlPr>
                <w:rPr>
                  <w:rFonts w:ascii="Cambria Math" w:hAnsi="Cambria Math"/>
                  <w:color w:val="003366"/>
                  <w:sz w:val="52"/>
                  <w:szCs w:val="52"/>
                </w:rPr>
              </m:ctrlPr>
            </m:sSubPr>
            <m:e>
              <m:r>
                <m:rPr>
                  <m:sty m:val="p"/>
                </m:rPr>
                <w:rPr>
                  <w:rFonts w:ascii="Cambria Math" w:hAnsi="Cambria Math"/>
                  <w:color w:val="003366"/>
                  <w:sz w:val="52"/>
                  <w:szCs w:val="52"/>
                </w:rPr>
                <m:t>EPS</m:t>
              </m:r>
            </m:e>
            <m:sub>
              <m:r>
                <m:rPr>
                  <m:sty m:val="p"/>
                </m:rPr>
                <w:rPr>
                  <w:rFonts w:ascii="Cambria Math" w:hAnsi="Cambria Math"/>
                  <w:color w:val="003366"/>
                  <w:sz w:val="52"/>
                  <w:szCs w:val="52"/>
                </w:rPr>
                <m:t>WBC</m:t>
              </m:r>
            </m:sub>
          </m:sSub>
        </m:oMath>
      </m:oMathPara>
    </w:p>
    <w:p w:rsidR="00B94990" w:rsidRDefault="00B94990" w:rsidP="00B94990">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m:t>
          </m:r>
          <m:f>
            <m:fPr>
              <m:ctrlPr>
                <w:rPr>
                  <w:rFonts w:ascii="Cambria Math" w:hAnsi="Cambria Math"/>
                  <w:color w:val="003366"/>
                  <w:sz w:val="52"/>
                  <w:szCs w:val="52"/>
                </w:rPr>
              </m:ctrlPr>
            </m:fPr>
            <m:num>
              <m:r>
                <m:rPr>
                  <m:sty m:val="p"/>
                </m:rPr>
                <w:rPr>
                  <w:rFonts w:ascii="Cambria Math" w:hAnsi="Cambria Math"/>
                  <w:color w:val="003366"/>
                  <w:sz w:val="52"/>
                  <w:szCs w:val="52"/>
                </w:rPr>
                <m:t>14.35+15.11+15.37</m:t>
              </m:r>
            </m:num>
            <m:den>
              <m:r>
                <m:rPr>
                  <m:sty m:val="p"/>
                </m:rPr>
                <w:rPr>
                  <w:rFonts w:ascii="Cambria Math" w:hAnsi="Cambria Math"/>
                  <w:color w:val="003366"/>
                  <w:sz w:val="52"/>
                  <w:szCs w:val="52"/>
                </w:rPr>
                <m:t>3</m:t>
              </m:r>
            </m:den>
          </m:f>
          <m:r>
            <m:rPr>
              <m:sty m:val="p"/>
            </m:rPr>
            <w:rPr>
              <w:rFonts w:ascii="Cambria Math" w:hAnsi="Cambria Math"/>
              <w:color w:val="003366"/>
              <w:sz w:val="52"/>
              <w:szCs w:val="52"/>
            </w:rPr>
            <m:t>×$2.15</m:t>
          </m:r>
        </m:oMath>
      </m:oMathPara>
    </w:p>
    <w:p w:rsidR="00B94990" w:rsidRDefault="00B94990" w:rsidP="00B94990">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=14.9433×$2.15=$</m:t>
          </m:r>
          <m:r>
            <m:rPr>
              <m:sty m:val="b"/>
            </m:rPr>
            <w:rPr>
              <w:rFonts w:ascii="Cambria Math" w:hAnsi="Cambria Math"/>
              <w:color w:val="003366"/>
              <w:sz w:val="52"/>
              <w:szCs w:val="52"/>
            </w:rPr>
            <m:t>32.13</m:t>
          </m:r>
        </m:oMath>
      </m:oMathPara>
    </w:p>
    <w:p w:rsidR="00B94990" w:rsidRDefault="00B94990" w:rsidP="00B94990">
      <w:pPr>
        <w:spacing w:after="200" w:line="276" w:lineRule="auto"/>
        <w:rPr>
          <w:rFonts w:asciiTheme="majorHAnsi" w:hAnsiTheme="majorHAnsi"/>
          <w:color w:val="003366"/>
          <w:sz w:val="52"/>
          <w:szCs w:val="52"/>
        </w:rPr>
      </w:pPr>
      <w:r>
        <w:rPr>
          <w:rFonts w:asciiTheme="majorHAnsi" w:hAnsiTheme="majorHAnsi"/>
          <w:color w:val="003366"/>
          <w:sz w:val="52"/>
          <w:szCs w:val="52"/>
        </w:rPr>
        <w:t>This is very close to Westpac's actual share price on 28/2/14 of $</w:t>
      </w:r>
      <w:r w:rsidRPr="00530C85">
        <w:rPr>
          <w:rFonts w:asciiTheme="majorHAnsi" w:hAnsiTheme="majorHAnsi"/>
          <w:b/>
          <w:color w:val="003366"/>
          <w:sz w:val="52"/>
          <w:szCs w:val="52"/>
        </w:rPr>
        <w:t>33.47</w:t>
      </w:r>
      <w:r>
        <w:rPr>
          <w:rFonts w:asciiTheme="majorHAnsi" w:hAnsiTheme="majorHAnsi"/>
          <w:color w:val="003366"/>
          <w:sz w:val="52"/>
          <w:szCs w:val="52"/>
        </w:rPr>
        <w:t>. In this case the PE multiple approach to valuation has done a good job, probably because the 4 major Australian banks are so similar.</w:t>
      </w:r>
      <w:bookmarkStart w:id="0" w:name="_GoBack"/>
      <w:bookmarkEnd w:id="0"/>
    </w:p>
    <w:sectPr w:rsidR="00B94990" w:rsidSect="00A656FD">
      <w:footerReference w:type="default" r:id="rId8"/>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CBD" w:rsidRDefault="00EC1CBD" w:rsidP="00A656FD">
      <w:r>
        <w:separator/>
      </w:r>
    </w:p>
  </w:endnote>
  <w:endnote w:type="continuationSeparator" w:id="0">
    <w:p w:rsidR="00EC1CBD" w:rsidRDefault="00EC1CBD"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4A4B2F" w:rsidRPr="00A656FD" w:rsidRDefault="004A4B2F">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CD7AE0">
          <w:rPr>
            <w:i/>
            <w:noProof/>
            <w:sz w:val="36"/>
            <w:szCs w:val="36"/>
          </w:rPr>
          <w:t>7</w:t>
        </w:r>
        <w:r w:rsidRPr="00A656FD">
          <w:rPr>
            <w:i/>
            <w:sz w:val="36"/>
            <w:szCs w:val="36"/>
          </w:rPr>
          <w:fldChar w:fldCharType="end"/>
        </w:r>
      </w:p>
    </w:sdtContent>
  </w:sdt>
  <w:p w:rsidR="004A4B2F" w:rsidRPr="00A656FD" w:rsidRDefault="004A4B2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CBD" w:rsidRDefault="00EC1CBD" w:rsidP="00A656FD">
      <w:r>
        <w:separator/>
      </w:r>
    </w:p>
  </w:footnote>
  <w:footnote w:type="continuationSeparator" w:id="0">
    <w:p w:rsidR="00EC1CBD" w:rsidRDefault="00EC1CBD"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8AD"/>
    <w:multiLevelType w:val="hybridMultilevel"/>
    <w:tmpl w:val="961A1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E08F5"/>
    <w:multiLevelType w:val="hybridMultilevel"/>
    <w:tmpl w:val="86D4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A692D"/>
    <w:multiLevelType w:val="hybridMultilevel"/>
    <w:tmpl w:val="47366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0C65D4"/>
    <w:multiLevelType w:val="hybridMultilevel"/>
    <w:tmpl w:val="6298B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E52DD5"/>
    <w:multiLevelType w:val="hybridMultilevel"/>
    <w:tmpl w:val="EE62E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DD5971"/>
    <w:multiLevelType w:val="hybridMultilevel"/>
    <w:tmpl w:val="1E04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55520E"/>
    <w:multiLevelType w:val="hybridMultilevel"/>
    <w:tmpl w:val="426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D351AB"/>
    <w:multiLevelType w:val="hybridMultilevel"/>
    <w:tmpl w:val="C4684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5F7D4A"/>
    <w:multiLevelType w:val="hybridMultilevel"/>
    <w:tmpl w:val="C3A64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B160DB"/>
    <w:multiLevelType w:val="hybridMultilevel"/>
    <w:tmpl w:val="FA380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BF6BDC"/>
    <w:multiLevelType w:val="hybridMultilevel"/>
    <w:tmpl w:val="512456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AF476E"/>
    <w:multiLevelType w:val="hybridMultilevel"/>
    <w:tmpl w:val="00E2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C33375"/>
    <w:multiLevelType w:val="hybridMultilevel"/>
    <w:tmpl w:val="1FBA9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1425EB"/>
    <w:multiLevelType w:val="hybridMultilevel"/>
    <w:tmpl w:val="A3EC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BF7FC1"/>
    <w:multiLevelType w:val="hybridMultilevel"/>
    <w:tmpl w:val="CDB8C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B52500"/>
    <w:multiLevelType w:val="hybridMultilevel"/>
    <w:tmpl w:val="6484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39345F"/>
    <w:multiLevelType w:val="hybridMultilevel"/>
    <w:tmpl w:val="D070F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0C0926"/>
    <w:multiLevelType w:val="hybridMultilevel"/>
    <w:tmpl w:val="51EE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FC599F"/>
    <w:multiLevelType w:val="hybridMultilevel"/>
    <w:tmpl w:val="D0560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CA7B1B"/>
    <w:multiLevelType w:val="hybridMultilevel"/>
    <w:tmpl w:val="33385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1858DE"/>
    <w:multiLevelType w:val="hybridMultilevel"/>
    <w:tmpl w:val="0E26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B644B4"/>
    <w:multiLevelType w:val="hybridMultilevel"/>
    <w:tmpl w:val="F3C2E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CF7DF9"/>
    <w:multiLevelType w:val="hybridMultilevel"/>
    <w:tmpl w:val="F7A07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3B0A5B"/>
    <w:multiLevelType w:val="hybridMultilevel"/>
    <w:tmpl w:val="CD26C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2"/>
  </w:num>
  <w:num w:numId="4">
    <w:abstractNumId w:val="14"/>
  </w:num>
  <w:num w:numId="5">
    <w:abstractNumId w:val="13"/>
  </w:num>
  <w:num w:numId="6">
    <w:abstractNumId w:val="4"/>
  </w:num>
  <w:num w:numId="7">
    <w:abstractNumId w:val="3"/>
  </w:num>
  <w:num w:numId="8">
    <w:abstractNumId w:val="10"/>
  </w:num>
  <w:num w:numId="9">
    <w:abstractNumId w:val="1"/>
  </w:num>
  <w:num w:numId="10">
    <w:abstractNumId w:val="18"/>
  </w:num>
  <w:num w:numId="11">
    <w:abstractNumId w:val="2"/>
  </w:num>
  <w:num w:numId="12">
    <w:abstractNumId w:val="17"/>
  </w:num>
  <w:num w:numId="13">
    <w:abstractNumId w:val="11"/>
  </w:num>
  <w:num w:numId="14">
    <w:abstractNumId w:val="21"/>
  </w:num>
  <w:num w:numId="15">
    <w:abstractNumId w:val="22"/>
  </w:num>
  <w:num w:numId="16">
    <w:abstractNumId w:val="9"/>
  </w:num>
  <w:num w:numId="17">
    <w:abstractNumId w:val="6"/>
  </w:num>
  <w:num w:numId="18">
    <w:abstractNumId w:val="19"/>
  </w:num>
  <w:num w:numId="19">
    <w:abstractNumId w:val="23"/>
  </w:num>
  <w:num w:numId="20">
    <w:abstractNumId w:val="0"/>
  </w:num>
  <w:num w:numId="21">
    <w:abstractNumId w:val="20"/>
  </w:num>
  <w:num w:numId="22">
    <w:abstractNumId w:val="15"/>
  </w:num>
  <w:num w:numId="23">
    <w:abstractNumId w:val="5"/>
  </w:num>
  <w:num w:numId="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0765"/>
    <w:rsid w:val="0000189D"/>
    <w:rsid w:val="00001F8C"/>
    <w:rsid w:val="000027D1"/>
    <w:rsid w:val="00002B3B"/>
    <w:rsid w:val="00003623"/>
    <w:rsid w:val="000042F4"/>
    <w:rsid w:val="00004DF1"/>
    <w:rsid w:val="0000663E"/>
    <w:rsid w:val="00007A23"/>
    <w:rsid w:val="00007BD7"/>
    <w:rsid w:val="00007DD9"/>
    <w:rsid w:val="00010199"/>
    <w:rsid w:val="000108EB"/>
    <w:rsid w:val="00010B8D"/>
    <w:rsid w:val="00011A60"/>
    <w:rsid w:val="00011B06"/>
    <w:rsid w:val="00011D5E"/>
    <w:rsid w:val="00014C37"/>
    <w:rsid w:val="0001677E"/>
    <w:rsid w:val="0001730D"/>
    <w:rsid w:val="0002080B"/>
    <w:rsid w:val="00020C9E"/>
    <w:rsid w:val="00020F2B"/>
    <w:rsid w:val="000221A3"/>
    <w:rsid w:val="000225FD"/>
    <w:rsid w:val="00022D54"/>
    <w:rsid w:val="00023385"/>
    <w:rsid w:val="0002481A"/>
    <w:rsid w:val="00024C4D"/>
    <w:rsid w:val="00024D32"/>
    <w:rsid w:val="0002526B"/>
    <w:rsid w:val="0002610E"/>
    <w:rsid w:val="00026EDD"/>
    <w:rsid w:val="000274E5"/>
    <w:rsid w:val="00033185"/>
    <w:rsid w:val="000343CD"/>
    <w:rsid w:val="0003453A"/>
    <w:rsid w:val="00034951"/>
    <w:rsid w:val="00034B32"/>
    <w:rsid w:val="00034C18"/>
    <w:rsid w:val="00036113"/>
    <w:rsid w:val="00036962"/>
    <w:rsid w:val="00037286"/>
    <w:rsid w:val="000375F9"/>
    <w:rsid w:val="00037E75"/>
    <w:rsid w:val="000406B5"/>
    <w:rsid w:val="000427DD"/>
    <w:rsid w:val="000436E9"/>
    <w:rsid w:val="00044362"/>
    <w:rsid w:val="00046096"/>
    <w:rsid w:val="0004680D"/>
    <w:rsid w:val="00046A07"/>
    <w:rsid w:val="00047E11"/>
    <w:rsid w:val="000507D0"/>
    <w:rsid w:val="00050A60"/>
    <w:rsid w:val="0005110C"/>
    <w:rsid w:val="00052385"/>
    <w:rsid w:val="000524C5"/>
    <w:rsid w:val="00052D32"/>
    <w:rsid w:val="00053B75"/>
    <w:rsid w:val="00053EC4"/>
    <w:rsid w:val="000543C8"/>
    <w:rsid w:val="000545A9"/>
    <w:rsid w:val="000554BA"/>
    <w:rsid w:val="00055E11"/>
    <w:rsid w:val="0006027C"/>
    <w:rsid w:val="000605DB"/>
    <w:rsid w:val="0006087D"/>
    <w:rsid w:val="00060CEC"/>
    <w:rsid w:val="00063F20"/>
    <w:rsid w:val="00064E66"/>
    <w:rsid w:val="000651AB"/>
    <w:rsid w:val="00065B9C"/>
    <w:rsid w:val="000665A5"/>
    <w:rsid w:val="0006779F"/>
    <w:rsid w:val="0006792C"/>
    <w:rsid w:val="00070C6B"/>
    <w:rsid w:val="00072B25"/>
    <w:rsid w:val="00075233"/>
    <w:rsid w:val="00075871"/>
    <w:rsid w:val="000761AD"/>
    <w:rsid w:val="00077383"/>
    <w:rsid w:val="000773F4"/>
    <w:rsid w:val="000805C6"/>
    <w:rsid w:val="00081997"/>
    <w:rsid w:val="000829E4"/>
    <w:rsid w:val="00083173"/>
    <w:rsid w:val="0008324B"/>
    <w:rsid w:val="00083A35"/>
    <w:rsid w:val="00084775"/>
    <w:rsid w:val="0008532B"/>
    <w:rsid w:val="0008623B"/>
    <w:rsid w:val="000873ED"/>
    <w:rsid w:val="00087DF1"/>
    <w:rsid w:val="000904AF"/>
    <w:rsid w:val="00091AE8"/>
    <w:rsid w:val="00091EA0"/>
    <w:rsid w:val="00092585"/>
    <w:rsid w:val="00092B66"/>
    <w:rsid w:val="00093FEE"/>
    <w:rsid w:val="0009425B"/>
    <w:rsid w:val="000969D7"/>
    <w:rsid w:val="0009744B"/>
    <w:rsid w:val="00097D1E"/>
    <w:rsid w:val="000A0802"/>
    <w:rsid w:val="000A1BA6"/>
    <w:rsid w:val="000A1F9C"/>
    <w:rsid w:val="000A2558"/>
    <w:rsid w:val="000A48FF"/>
    <w:rsid w:val="000A51E0"/>
    <w:rsid w:val="000A5C07"/>
    <w:rsid w:val="000A5DDA"/>
    <w:rsid w:val="000A628E"/>
    <w:rsid w:val="000A76DF"/>
    <w:rsid w:val="000B3A6C"/>
    <w:rsid w:val="000B3CD1"/>
    <w:rsid w:val="000B3D5C"/>
    <w:rsid w:val="000B40EC"/>
    <w:rsid w:val="000B40FD"/>
    <w:rsid w:val="000B4F34"/>
    <w:rsid w:val="000B548B"/>
    <w:rsid w:val="000B5643"/>
    <w:rsid w:val="000B7301"/>
    <w:rsid w:val="000B787C"/>
    <w:rsid w:val="000C184E"/>
    <w:rsid w:val="000C1A49"/>
    <w:rsid w:val="000C277B"/>
    <w:rsid w:val="000C2965"/>
    <w:rsid w:val="000C2C56"/>
    <w:rsid w:val="000C4479"/>
    <w:rsid w:val="000C46B1"/>
    <w:rsid w:val="000C586B"/>
    <w:rsid w:val="000C6250"/>
    <w:rsid w:val="000D24DF"/>
    <w:rsid w:val="000D4513"/>
    <w:rsid w:val="000D46D7"/>
    <w:rsid w:val="000D5339"/>
    <w:rsid w:val="000D5629"/>
    <w:rsid w:val="000D60A0"/>
    <w:rsid w:val="000E0BEA"/>
    <w:rsid w:val="000E1067"/>
    <w:rsid w:val="000E1093"/>
    <w:rsid w:val="000E110F"/>
    <w:rsid w:val="000E121A"/>
    <w:rsid w:val="000E1810"/>
    <w:rsid w:val="000E21C8"/>
    <w:rsid w:val="000E2520"/>
    <w:rsid w:val="000E2D46"/>
    <w:rsid w:val="000E308F"/>
    <w:rsid w:val="000E31F3"/>
    <w:rsid w:val="000E39F8"/>
    <w:rsid w:val="000E4724"/>
    <w:rsid w:val="000E567E"/>
    <w:rsid w:val="000E604A"/>
    <w:rsid w:val="000E6AFA"/>
    <w:rsid w:val="000E707C"/>
    <w:rsid w:val="000F1FCF"/>
    <w:rsid w:val="000F3234"/>
    <w:rsid w:val="000F3F25"/>
    <w:rsid w:val="000F3FDE"/>
    <w:rsid w:val="000F4264"/>
    <w:rsid w:val="000F4329"/>
    <w:rsid w:val="000F47F5"/>
    <w:rsid w:val="000F5831"/>
    <w:rsid w:val="000F59E2"/>
    <w:rsid w:val="000F66D4"/>
    <w:rsid w:val="000F739E"/>
    <w:rsid w:val="00101666"/>
    <w:rsid w:val="00101D61"/>
    <w:rsid w:val="00102531"/>
    <w:rsid w:val="0010359D"/>
    <w:rsid w:val="00103B0B"/>
    <w:rsid w:val="00104786"/>
    <w:rsid w:val="001049A7"/>
    <w:rsid w:val="00104CA6"/>
    <w:rsid w:val="00106B5B"/>
    <w:rsid w:val="00107E24"/>
    <w:rsid w:val="00111851"/>
    <w:rsid w:val="001118C6"/>
    <w:rsid w:val="00111DC5"/>
    <w:rsid w:val="00112B84"/>
    <w:rsid w:val="001142D6"/>
    <w:rsid w:val="0011756C"/>
    <w:rsid w:val="00120534"/>
    <w:rsid w:val="00121CEC"/>
    <w:rsid w:val="0012215A"/>
    <w:rsid w:val="001229E1"/>
    <w:rsid w:val="00122D1B"/>
    <w:rsid w:val="001246F0"/>
    <w:rsid w:val="00124768"/>
    <w:rsid w:val="00125CDC"/>
    <w:rsid w:val="001262FE"/>
    <w:rsid w:val="00127CCF"/>
    <w:rsid w:val="0013028A"/>
    <w:rsid w:val="0013150D"/>
    <w:rsid w:val="00131BC8"/>
    <w:rsid w:val="00131E6C"/>
    <w:rsid w:val="00132E87"/>
    <w:rsid w:val="001361E8"/>
    <w:rsid w:val="00136B4D"/>
    <w:rsid w:val="00141DC5"/>
    <w:rsid w:val="001437B0"/>
    <w:rsid w:val="0014591D"/>
    <w:rsid w:val="00146C45"/>
    <w:rsid w:val="00151D1F"/>
    <w:rsid w:val="00151FC2"/>
    <w:rsid w:val="00152755"/>
    <w:rsid w:val="001531A9"/>
    <w:rsid w:val="001545BA"/>
    <w:rsid w:val="00155BA7"/>
    <w:rsid w:val="00157CCD"/>
    <w:rsid w:val="00160899"/>
    <w:rsid w:val="00160B04"/>
    <w:rsid w:val="00160F3B"/>
    <w:rsid w:val="00161610"/>
    <w:rsid w:val="0016187B"/>
    <w:rsid w:val="00161964"/>
    <w:rsid w:val="00161A17"/>
    <w:rsid w:val="00162C36"/>
    <w:rsid w:val="00163746"/>
    <w:rsid w:val="001648DD"/>
    <w:rsid w:val="00166A50"/>
    <w:rsid w:val="00170AF7"/>
    <w:rsid w:val="00170E3E"/>
    <w:rsid w:val="00171164"/>
    <w:rsid w:val="00171F4F"/>
    <w:rsid w:val="001727F6"/>
    <w:rsid w:val="00173BC0"/>
    <w:rsid w:val="00173BD0"/>
    <w:rsid w:val="00175ADC"/>
    <w:rsid w:val="00180CCA"/>
    <w:rsid w:val="001813B4"/>
    <w:rsid w:val="00181858"/>
    <w:rsid w:val="001825B0"/>
    <w:rsid w:val="00182ACE"/>
    <w:rsid w:val="00182EF9"/>
    <w:rsid w:val="0018359C"/>
    <w:rsid w:val="00183DDE"/>
    <w:rsid w:val="001851C9"/>
    <w:rsid w:val="00185DCE"/>
    <w:rsid w:val="0018701C"/>
    <w:rsid w:val="00190BFD"/>
    <w:rsid w:val="0019154B"/>
    <w:rsid w:val="00194E51"/>
    <w:rsid w:val="00194EA1"/>
    <w:rsid w:val="001976C6"/>
    <w:rsid w:val="001977F4"/>
    <w:rsid w:val="00197B8A"/>
    <w:rsid w:val="001A0FE8"/>
    <w:rsid w:val="001A19A9"/>
    <w:rsid w:val="001A266F"/>
    <w:rsid w:val="001A3453"/>
    <w:rsid w:val="001A3B5E"/>
    <w:rsid w:val="001A3E9C"/>
    <w:rsid w:val="001A4B96"/>
    <w:rsid w:val="001A4BA2"/>
    <w:rsid w:val="001A6EB0"/>
    <w:rsid w:val="001A7560"/>
    <w:rsid w:val="001B1101"/>
    <w:rsid w:val="001B1E84"/>
    <w:rsid w:val="001B5D58"/>
    <w:rsid w:val="001B619A"/>
    <w:rsid w:val="001B70D9"/>
    <w:rsid w:val="001B767D"/>
    <w:rsid w:val="001B7707"/>
    <w:rsid w:val="001B7854"/>
    <w:rsid w:val="001C0B89"/>
    <w:rsid w:val="001C19E6"/>
    <w:rsid w:val="001C265F"/>
    <w:rsid w:val="001C3D2A"/>
    <w:rsid w:val="001C4069"/>
    <w:rsid w:val="001C7B4B"/>
    <w:rsid w:val="001D1479"/>
    <w:rsid w:val="001D1D5A"/>
    <w:rsid w:val="001D25DD"/>
    <w:rsid w:val="001D2A68"/>
    <w:rsid w:val="001D33CD"/>
    <w:rsid w:val="001D3CE4"/>
    <w:rsid w:val="001D50EA"/>
    <w:rsid w:val="001D58D9"/>
    <w:rsid w:val="001D5CFB"/>
    <w:rsid w:val="001D62DD"/>
    <w:rsid w:val="001D6528"/>
    <w:rsid w:val="001D72C1"/>
    <w:rsid w:val="001E009D"/>
    <w:rsid w:val="001E1D9C"/>
    <w:rsid w:val="001E347A"/>
    <w:rsid w:val="001E3D6A"/>
    <w:rsid w:val="001E403C"/>
    <w:rsid w:val="001E46D2"/>
    <w:rsid w:val="001E4C6D"/>
    <w:rsid w:val="001E4D60"/>
    <w:rsid w:val="001E5C14"/>
    <w:rsid w:val="001E63A7"/>
    <w:rsid w:val="001E7CBE"/>
    <w:rsid w:val="001F0308"/>
    <w:rsid w:val="001F1D65"/>
    <w:rsid w:val="001F1EF0"/>
    <w:rsid w:val="001F239E"/>
    <w:rsid w:val="001F432A"/>
    <w:rsid w:val="001F52E9"/>
    <w:rsid w:val="001F79E1"/>
    <w:rsid w:val="001F7FCC"/>
    <w:rsid w:val="00200B47"/>
    <w:rsid w:val="0020164D"/>
    <w:rsid w:val="00202DEE"/>
    <w:rsid w:val="0020324F"/>
    <w:rsid w:val="00203C81"/>
    <w:rsid w:val="00205516"/>
    <w:rsid w:val="00205B83"/>
    <w:rsid w:val="00207C59"/>
    <w:rsid w:val="00210595"/>
    <w:rsid w:val="002112E8"/>
    <w:rsid w:val="002120D5"/>
    <w:rsid w:val="002127C7"/>
    <w:rsid w:val="00212DD6"/>
    <w:rsid w:val="00220420"/>
    <w:rsid w:val="0022159C"/>
    <w:rsid w:val="0022163A"/>
    <w:rsid w:val="00221D00"/>
    <w:rsid w:val="00223A2A"/>
    <w:rsid w:val="00223D99"/>
    <w:rsid w:val="00224863"/>
    <w:rsid w:val="00226004"/>
    <w:rsid w:val="002267AA"/>
    <w:rsid w:val="00227163"/>
    <w:rsid w:val="00227713"/>
    <w:rsid w:val="00227B0A"/>
    <w:rsid w:val="00227FD2"/>
    <w:rsid w:val="00230082"/>
    <w:rsid w:val="0023099C"/>
    <w:rsid w:val="00231364"/>
    <w:rsid w:val="0023178D"/>
    <w:rsid w:val="002358B7"/>
    <w:rsid w:val="00235A90"/>
    <w:rsid w:val="00236F0C"/>
    <w:rsid w:val="002402F7"/>
    <w:rsid w:val="002407C1"/>
    <w:rsid w:val="00241649"/>
    <w:rsid w:val="002435A9"/>
    <w:rsid w:val="00243C03"/>
    <w:rsid w:val="00243DED"/>
    <w:rsid w:val="00244320"/>
    <w:rsid w:val="00245EFB"/>
    <w:rsid w:val="00246E32"/>
    <w:rsid w:val="00246FE9"/>
    <w:rsid w:val="0025003C"/>
    <w:rsid w:val="00251B4C"/>
    <w:rsid w:val="00253867"/>
    <w:rsid w:val="00254216"/>
    <w:rsid w:val="002547E9"/>
    <w:rsid w:val="00255AE7"/>
    <w:rsid w:val="00260306"/>
    <w:rsid w:val="002640F0"/>
    <w:rsid w:val="002647F4"/>
    <w:rsid w:val="00264BF0"/>
    <w:rsid w:val="002656AE"/>
    <w:rsid w:val="00266320"/>
    <w:rsid w:val="00266928"/>
    <w:rsid w:val="0026697E"/>
    <w:rsid w:val="00267964"/>
    <w:rsid w:val="002709E5"/>
    <w:rsid w:val="0027170E"/>
    <w:rsid w:val="002720A4"/>
    <w:rsid w:val="002725F1"/>
    <w:rsid w:val="00272B01"/>
    <w:rsid w:val="00272E29"/>
    <w:rsid w:val="002730FB"/>
    <w:rsid w:val="00274176"/>
    <w:rsid w:val="0027577D"/>
    <w:rsid w:val="00277BB4"/>
    <w:rsid w:val="00277ED8"/>
    <w:rsid w:val="00280278"/>
    <w:rsid w:val="0028040B"/>
    <w:rsid w:val="0028093F"/>
    <w:rsid w:val="00283743"/>
    <w:rsid w:val="00284936"/>
    <w:rsid w:val="00284BCC"/>
    <w:rsid w:val="00285E08"/>
    <w:rsid w:val="0028637E"/>
    <w:rsid w:val="00287BC0"/>
    <w:rsid w:val="00291EC3"/>
    <w:rsid w:val="0029236C"/>
    <w:rsid w:val="002935AC"/>
    <w:rsid w:val="00293632"/>
    <w:rsid w:val="00294DE6"/>
    <w:rsid w:val="002975B8"/>
    <w:rsid w:val="002A0651"/>
    <w:rsid w:val="002A0BA1"/>
    <w:rsid w:val="002A1AFF"/>
    <w:rsid w:val="002A2C0F"/>
    <w:rsid w:val="002A3224"/>
    <w:rsid w:val="002A580B"/>
    <w:rsid w:val="002A6532"/>
    <w:rsid w:val="002B1104"/>
    <w:rsid w:val="002B1D8C"/>
    <w:rsid w:val="002B1FA1"/>
    <w:rsid w:val="002B238D"/>
    <w:rsid w:val="002B2C15"/>
    <w:rsid w:val="002B379B"/>
    <w:rsid w:val="002B5C0D"/>
    <w:rsid w:val="002B636D"/>
    <w:rsid w:val="002B6501"/>
    <w:rsid w:val="002B6DE6"/>
    <w:rsid w:val="002C0CA3"/>
    <w:rsid w:val="002C386A"/>
    <w:rsid w:val="002C4B20"/>
    <w:rsid w:val="002C6181"/>
    <w:rsid w:val="002D0114"/>
    <w:rsid w:val="002D4072"/>
    <w:rsid w:val="002D4AC1"/>
    <w:rsid w:val="002D7EAA"/>
    <w:rsid w:val="002E179D"/>
    <w:rsid w:val="002E2064"/>
    <w:rsid w:val="002E3277"/>
    <w:rsid w:val="002E3E57"/>
    <w:rsid w:val="002E4011"/>
    <w:rsid w:val="002E4976"/>
    <w:rsid w:val="002E4B1A"/>
    <w:rsid w:val="002E5055"/>
    <w:rsid w:val="002E557C"/>
    <w:rsid w:val="002E580F"/>
    <w:rsid w:val="002F092B"/>
    <w:rsid w:val="002F0BFA"/>
    <w:rsid w:val="002F1368"/>
    <w:rsid w:val="002F18FE"/>
    <w:rsid w:val="002F31E7"/>
    <w:rsid w:val="002F35D5"/>
    <w:rsid w:val="003003FE"/>
    <w:rsid w:val="0030046F"/>
    <w:rsid w:val="00300585"/>
    <w:rsid w:val="00302CFA"/>
    <w:rsid w:val="00302EA5"/>
    <w:rsid w:val="00303D3F"/>
    <w:rsid w:val="003059A0"/>
    <w:rsid w:val="00305C6D"/>
    <w:rsid w:val="00305FB6"/>
    <w:rsid w:val="00312A3D"/>
    <w:rsid w:val="00313669"/>
    <w:rsid w:val="00313B47"/>
    <w:rsid w:val="00313D8E"/>
    <w:rsid w:val="003141DD"/>
    <w:rsid w:val="00314BFA"/>
    <w:rsid w:val="00314E89"/>
    <w:rsid w:val="003150BB"/>
    <w:rsid w:val="00315262"/>
    <w:rsid w:val="003157F0"/>
    <w:rsid w:val="0031737C"/>
    <w:rsid w:val="0032040B"/>
    <w:rsid w:val="003209CE"/>
    <w:rsid w:val="00320ECF"/>
    <w:rsid w:val="003222F5"/>
    <w:rsid w:val="00322B70"/>
    <w:rsid w:val="00322DB9"/>
    <w:rsid w:val="003235BC"/>
    <w:rsid w:val="00323684"/>
    <w:rsid w:val="003245BF"/>
    <w:rsid w:val="0032465C"/>
    <w:rsid w:val="00324AA7"/>
    <w:rsid w:val="00325349"/>
    <w:rsid w:val="00326076"/>
    <w:rsid w:val="003269CD"/>
    <w:rsid w:val="00327317"/>
    <w:rsid w:val="00327C3B"/>
    <w:rsid w:val="0033458D"/>
    <w:rsid w:val="0033492F"/>
    <w:rsid w:val="00336085"/>
    <w:rsid w:val="003363EF"/>
    <w:rsid w:val="0033670C"/>
    <w:rsid w:val="003370C9"/>
    <w:rsid w:val="00337FB3"/>
    <w:rsid w:val="00337FCB"/>
    <w:rsid w:val="003415D5"/>
    <w:rsid w:val="003438F0"/>
    <w:rsid w:val="00344ADB"/>
    <w:rsid w:val="00347DCC"/>
    <w:rsid w:val="00350CAC"/>
    <w:rsid w:val="00350E2D"/>
    <w:rsid w:val="00351CFA"/>
    <w:rsid w:val="00352E28"/>
    <w:rsid w:val="00353C4A"/>
    <w:rsid w:val="003559BB"/>
    <w:rsid w:val="00356BEE"/>
    <w:rsid w:val="00360868"/>
    <w:rsid w:val="00362296"/>
    <w:rsid w:val="00362CCA"/>
    <w:rsid w:val="00363004"/>
    <w:rsid w:val="00363B5F"/>
    <w:rsid w:val="003647FE"/>
    <w:rsid w:val="003650B7"/>
    <w:rsid w:val="003650EA"/>
    <w:rsid w:val="00370474"/>
    <w:rsid w:val="00370BCA"/>
    <w:rsid w:val="00370DA5"/>
    <w:rsid w:val="0037165A"/>
    <w:rsid w:val="003725E8"/>
    <w:rsid w:val="00373A35"/>
    <w:rsid w:val="00375192"/>
    <w:rsid w:val="003757A6"/>
    <w:rsid w:val="0037592E"/>
    <w:rsid w:val="003776EA"/>
    <w:rsid w:val="00377E85"/>
    <w:rsid w:val="00377E8C"/>
    <w:rsid w:val="00380160"/>
    <w:rsid w:val="0038418F"/>
    <w:rsid w:val="00384C70"/>
    <w:rsid w:val="00384EBC"/>
    <w:rsid w:val="0038583A"/>
    <w:rsid w:val="00387165"/>
    <w:rsid w:val="003877F5"/>
    <w:rsid w:val="003906C5"/>
    <w:rsid w:val="00391F62"/>
    <w:rsid w:val="00393DC0"/>
    <w:rsid w:val="00393FF1"/>
    <w:rsid w:val="00395DC6"/>
    <w:rsid w:val="0039668E"/>
    <w:rsid w:val="00396EB0"/>
    <w:rsid w:val="00397398"/>
    <w:rsid w:val="003A0E14"/>
    <w:rsid w:val="003A14C2"/>
    <w:rsid w:val="003A193C"/>
    <w:rsid w:val="003A203C"/>
    <w:rsid w:val="003A285B"/>
    <w:rsid w:val="003A3A25"/>
    <w:rsid w:val="003A50F9"/>
    <w:rsid w:val="003A582F"/>
    <w:rsid w:val="003A6524"/>
    <w:rsid w:val="003A744C"/>
    <w:rsid w:val="003A74CF"/>
    <w:rsid w:val="003B171B"/>
    <w:rsid w:val="003B18B6"/>
    <w:rsid w:val="003B2FCE"/>
    <w:rsid w:val="003B3A83"/>
    <w:rsid w:val="003B4AF1"/>
    <w:rsid w:val="003B57E9"/>
    <w:rsid w:val="003B732F"/>
    <w:rsid w:val="003B7779"/>
    <w:rsid w:val="003C0DF1"/>
    <w:rsid w:val="003C1279"/>
    <w:rsid w:val="003C13D8"/>
    <w:rsid w:val="003C19A9"/>
    <w:rsid w:val="003C19BB"/>
    <w:rsid w:val="003C1FFC"/>
    <w:rsid w:val="003C38A9"/>
    <w:rsid w:val="003C3E3B"/>
    <w:rsid w:val="003C4A59"/>
    <w:rsid w:val="003C4DBE"/>
    <w:rsid w:val="003C50F6"/>
    <w:rsid w:val="003C55FE"/>
    <w:rsid w:val="003C69F5"/>
    <w:rsid w:val="003C7C40"/>
    <w:rsid w:val="003D1EBA"/>
    <w:rsid w:val="003D2F9C"/>
    <w:rsid w:val="003D450C"/>
    <w:rsid w:val="003D46F4"/>
    <w:rsid w:val="003D5C86"/>
    <w:rsid w:val="003D62E4"/>
    <w:rsid w:val="003D71D3"/>
    <w:rsid w:val="003D71D6"/>
    <w:rsid w:val="003E1F61"/>
    <w:rsid w:val="003E23CD"/>
    <w:rsid w:val="003E2A4E"/>
    <w:rsid w:val="003E2A87"/>
    <w:rsid w:val="003E3D6F"/>
    <w:rsid w:val="003E4139"/>
    <w:rsid w:val="003E439A"/>
    <w:rsid w:val="003E59D0"/>
    <w:rsid w:val="003E6E55"/>
    <w:rsid w:val="003E7753"/>
    <w:rsid w:val="003E7C17"/>
    <w:rsid w:val="003F0C0C"/>
    <w:rsid w:val="003F166C"/>
    <w:rsid w:val="003F3346"/>
    <w:rsid w:val="003F5F5C"/>
    <w:rsid w:val="003F7BC1"/>
    <w:rsid w:val="00401F15"/>
    <w:rsid w:val="004028A2"/>
    <w:rsid w:val="00403542"/>
    <w:rsid w:val="004043E8"/>
    <w:rsid w:val="004058FC"/>
    <w:rsid w:val="00406E1B"/>
    <w:rsid w:val="00407E40"/>
    <w:rsid w:val="00407E9C"/>
    <w:rsid w:val="00410212"/>
    <w:rsid w:val="00411E3F"/>
    <w:rsid w:val="004128A7"/>
    <w:rsid w:val="0041292A"/>
    <w:rsid w:val="00413317"/>
    <w:rsid w:val="00414EA1"/>
    <w:rsid w:val="004156D8"/>
    <w:rsid w:val="00416754"/>
    <w:rsid w:val="00417983"/>
    <w:rsid w:val="00417EDD"/>
    <w:rsid w:val="004204C3"/>
    <w:rsid w:val="004209C1"/>
    <w:rsid w:val="00421371"/>
    <w:rsid w:val="004215CE"/>
    <w:rsid w:val="004216DD"/>
    <w:rsid w:val="0042219A"/>
    <w:rsid w:val="0042291B"/>
    <w:rsid w:val="00423527"/>
    <w:rsid w:val="00424005"/>
    <w:rsid w:val="004273CE"/>
    <w:rsid w:val="00427B23"/>
    <w:rsid w:val="00430D54"/>
    <w:rsid w:val="0043134A"/>
    <w:rsid w:val="00431F33"/>
    <w:rsid w:val="004321CA"/>
    <w:rsid w:val="004330F5"/>
    <w:rsid w:val="0043356F"/>
    <w:rsid w:val="00434031"/>
    <w:rsid w:val="004356DB"/>
    <w:rsid w:val="00435D08"/>
    <w:rsid w:val="004361CE"/>
    <w:rsid w:val="00436AC6"/>
    <w:rsid w:val="00437415"/>
    <w:rsid w:val="00437DD0"/>
    <w:rsid w:val="00442757"/>
    <w:rsid w:val="0044433C"/>
    <w:rsid w:val="00444AFE"/>
    <w:rsid w:val="00444C1D"/>
    <w:rsid w:val="00446C6D"/>
    <w:rsid w:val="00447A23"/>
    <w:rsid w:val="00450E75"/>
    <w:rsid w:val="00453A1A"/>
    <w:rsid w:val="00454010"/>
    <w:rsid w:val="004542BB"/>
    <w:rsid w:val="0045527B"/>
    <w:rsid w:val="0045600C"/>
    <w:rsid w:val="0045616F"/>
    <w:rsid w:val="00457330"/>
    <w:rsid w:val="004574A8"/>
    <w:rsid w:val="00460825"/>
    <w:rsid w:val="004626CA"/>
    <w:rsid w:val="004627D4"/>
    <w:rsid w:val="00465E9B"/>
    <w:rsid w:val="004675C9"/>
    <w:rsid w:val="00467C58"/>
    <w:rsid w:val="0047071B"/>
    <w:rsid w:val="00473A0E"/>
    <w:rsid w:val="00473F72"/>
    <w:rsid w:val="0047407C"/>
    <w:rsid w:val="00475184"/>
    <w:rsid w:val="004754C9"/>
    <w:rsid w:val="00475717"/>
    <w:rsid w:val="00475E3D"/>
    <w:rsid w:val="00476149"/>
    <w:rsid w:val="00476B7D"/>
    <w:rsid w:val="004777D9"/>
    <w:rsid w:val="00477AFA"/>
    <w:rsid w:val="00477D42"/>
    <w:rsid w:val="0048009A"/>
    <w:rsid w:val="004809CE"/>
    <w:rsid w:val="004815CB"/>
    <w:rsid w:val="0048237B"/>
    <w:rsid w:val="004823FE"/>
    <w:rsid w:val="00482F6F"/>
    <w:rsid w:val="00486641"/>
    <w:rsid w:val="00486DC5"/>
    <w:rsid w:val="004913AA"/>
    <w:rsid w:val="00491DD8"/>
    <w:rsid w:val="004930D6"/>
    <w:rsid w:val="0049313D"/>
    <w:rsid w:val="0049389E"/>
    <w:rsid w:val="00496ED2"/>
    <w:rsid w:val="00497559"/>
    <w:rsid w:val="004A0043"/>
    <w:rsid w:val="004A15D8"/>
    <w:rsid w:val="004A1613"/>
    <w:rsid w:val="004A1C13"/>
    <w:rsid w:val="004A1D91"/>
    <w:rsid w:val="004A2289"/>
    <w:rsid w:val="004A2765"/>
    <w:rsid w:val="004A3027"/>
    <w:rsid w:val="004A3336"/>
    <w:rsid w:val="004A3E70"/>
    <w:rsid w:val="004A466D"/>
    <w:rsid w:val="004A4B2F"/>
    <w:rsid w:val="004A60F7"/>
    <w:rsid w:val="004A7887"/>
    <w:rsid w:val="004B0875"/>
    <w:rsid w:val="004B11B2"/>
    <w:rsid w:val="004B2519"/>
    <w:rsid w:val="004B2552"/>
    <w:rsid w:val="004B2AAC"/>
    <w:rsid w:val="004B3103"/>
    <w:rsid w:val="004B3BE5"/>
    <w:rsid w:val="004B60A4"/>
    <w:rsid w:val="004B697F"/>
    <w:rsid w:val="004B6C64"/>
    <w:rsid w:val="004B7DE9"/>
    <w:rsid w:val="004C24A7"/>
    <w:rsid w:val="004C272F"/>
    <w:rsid w:val="004C3BF5"/>
    <w:rsid w:val="004C41E3"/>
    <w:rsid w:val="004C61EF"/>
    <w:rsid w:val="004C71A3"/>
    <w:rsid w:val="004C739A"/>
    <w:rsid w:val="004C7780"/>
    <w:rsid w:val="004D0BED"/>
    <w:rsid w:val="004D199F"/>
    <w:rsid w:val="004D23E4"/>
    <w:rsid w:val="004D246B"/>
    <w:rsid w:val="004D3D0E"/>
    <w:rsid w:val="004D498E"/>
    <w:rsid w:val="004E00E9"/>
    <w:rsid w:val="004E091E"/>
    <w:rsid w:val="004E0F4A"/>
    <w:rsid w:val="004E2B3C"/>
    <w:rsid w:val="004E3F42"/>
    <w:rsid w:val="004E41B4"/>
    <w:rsid w:val="004E4678"/>
    <w:rsid w:val="004E539E"/>
    <w:rsid w:val="004E54D0"/>
    <w:rsid w:val="004E5A1F"/>
    <w:rsid w:val="004E62A7"/>
    <w:rsid w:val="004F0317"/>
    <w:rsid w:val="004F1153"/>
    <w:rsid w:val="004F1443"/>
    <w:rsid w:val="004F1739"/>
    <w:rsid w:val="004F2793"/>
    <w:rsid w:val="004F2EEB"/>
    <w:rsid w:val="004F3663"/>
    <w:rsid w:val="004F3903"/>
    <w:rsid w:val="004F3FEF"/>
    <w:rsid w:val="004F404E"/>
    <w:rsid w:val="004F5C50"/>
    <w:rsid w:val="004F6E28"/>
    <w:rsid w:val="004F7FAA"/>
    <w:rsid w:val="00500096"/>
    <w:rsid w:val="00500DC8"/>
    <w:rsid w:val="00501A4F"/>
    <w:rsid w:val="005028C6"/>
    <w:rsid w:val="00503519"/>
    <w:rsid w:val="0050380F"/>
    <w:rsid w:val="00504B37"/>
    <w:rsid w:val="00504D95"/>
    <w:rsid w:val="005061BF"/>
    <w:rsid w:val="00506233"/>
    <w:rsid w:val="0051065A"/>
    <w:rsid w:val="00511005"/>
    <w:rsid w:val="00511363"/>
    <w:rsid w:val="005130AD"/>
    <w:rsid w:val="005142D2"/>
    <w:rsid w:val="00514ED9"/>
    <w:rsid w:val="00515CED"/>
    <w:rsid w:val="00515E9E"/>
    <w:rsid w:val="005230B9"/>
    <w:rsid w:val="00524561"/>
    <w:rsid w:val="00524AC8"/>
    <w:rsid w:val="00525291"/>
    <w:rsid w:val="005256F5"/>
    <w:rsid w:val="0052650B"/>
    <w:rsid w:val="00527333"/>
    <w:rsid w:val="0052778D"/>
    <w:rsid w:val="00527904"/>
    <w:rsid w:val="0053039A"/>
    <w:rsid w:val="005309DE"/>
    <w:rsid w:val="005317F0"/>
    <w:rsid w:val="00531FDE"/>
    <w:rsid w:val="005326DB"/>
    <w:rsid w:val="0053429F"/>
    <w:rsid w:val="00534BB9"/>
    <w:rsid w:val="00535600"/>
    <w:rsid w:val="00535BDE"/>
    <w:rsid w:val="00535CCE"/>
    <w:rsid w:val="00536DAF"/>
    <w:rsid w:val="00537B61"/>
    <w:rsid w:val="0054042B"/>
    <w:rsid w:val="00540508"/>
    <w:rsid w:val="00540CB2"/>
    <w:rsid w:val="00541A1A"/>
    <w:rsid w:val="005422E8"/>
    <w:rsid w:val="0054322A"/>
    <w:rsid w:val="005436A1"/>
    <w:rsid w:val="005447B2"/>
    <w:rsid w:val="00544F75"/>
    <w:rsid w:val="00545B7F"/>
    <w:rsid w:val="0054701D"/>
    <w:rsid w:val="005470CB"/>
    <w:rsid w:val="005479AA"/>
    <w:rsid w:val="0055063B"/>
    <w:rsid w:val="00551598"/>
    <w:rsid w:val="00551DFB"/>
    <w:rsid w:val="00553D52"/>
    <w:rsid w:val="00554F6E"/>
    <w:rsid w:val="005560EE"/>
    <w:rsid w:val="005564E3"/>
    <w:rsid w:val="005579A5"/>
    <w:rsid w:val="005611A8"/>
    <w:rsid w:val="00564732"/>
    <w:rsid w:val="00565709"/>
    <w:rsid w:val="00566A80"/>
    <w:rsid w:val="00566DDB"/>
    <w:rsid w:val="00567776"/>
    <w:rsid w:val="00567A0D"/>
    <w:rsid w:val="00567CCA"/>
    <w:rsid w:val="00571F05"/>
    <w:rsid w:val="00572141"/>
    <w:rsid w:val="005735F4"/>
    <w:rsid w:val="005740FB"/>
    <w:rsid w:val="00580362"/>
    <w:rsid w:val="00580805"/>
    <w:rsid w:val="005812FB"/>
    <w:rsid w:val="00581E81"/>
    <w:rsid w:val="00582467"/>
    <w:rsid w:val="005841EF"/>
    <w:rsid w:val="005850F6"/>
    <w:rsid w:val="00586144"/>
    <w:rsid w:val="00586478"/>
    <w:rsid w:val="00586599"/>
    <w:rsid w:val="00587093"/>
    <w:rsid w:val="00587123"/>
    <w:rsid w:val="005902F8"/>
    <w:rsid w:val="00590AAD"/>
    <w:rsid w:val="00591985"/>
    <w:rsid w:val="00592A76"/>
    <w:rsid w:val="00593475"/>
    <w:rsid w:val="005945D6"/>
    <w:rsid w:val="00594BA5"/>
    <w:rsid w:val="00594F23"/>
    <w:rsid w:val="00596289"/>
    <w:rsid w:val="00596550"/>
    <w:rsid w:val="00596660"/>
    <w:rsid w:val="005969AC"/>
    <w:rsid w:val="00596F21"/>
    <w:rsid w:val="00597DFD"/>
    <w:rsid w:val="005A4BCC"/>
    <w:rsid w:val="005A62D6"/>
    <w:rsid w:val="005A6563"/>
    <w:rsid w:val="005A6B8A"/>
    <w:rsid w:val="005A6BA4"/>
    <w:rsid w:val="005A7C20"/>
    <w:rsid w:val="005B0BDA"/>
    <w:rsid w:val="005B0E93"/>
    <w:rsid w:val="005B13CE"/>
    <w:rsid w:val="005B2135"/>
    <w:rsid w:val="005B2636"/>
    <w:rsid w:val="005B5270"/>
    <w:rsid w:val="005B5864"/>
    <w:rsid w:val="005B5B3C"/>
    <w:rsid w:val="005B6397"/>
    <w:rsid w:val="005B78DF"/>
    <w:rsid w:val="005B79A2"/>
    <w:rsid w:val="005B7FCA"/>
    <w:rsid w:val="005C038E"/>
    <w:rsid w:val="005C19C7"/>
    <w:rsid w:val="005C3584"/>
    <w:rsid w:val="005C406B"/>
    <w:rsid w:val="005C461E"/>
    <w:rsid w:val="005C647D"/>
    <w:rsid w:val="005D26D4"/>
    <w:rsid w:val="005D2889"/>
    <w:rsid w:val="005D2B64"/>
    <w:rsid w:val="005D3219"/>
    <w:rsid w:val="005D3816"/>
    <w:rsid w:val="005D3BE6"/>
    <w:rsid w:val="005D3CC8"/>
    <w:rsid w:val="005D4555"/>
    <w:rsid w:val="005D4D76"/>
    <w:rsid w:val="005D597F"/>
    <w:rsid w:val="005D6489"/>
    <w:rsid w:val="005D6CC5"/>
    <w:rsid w:val="005D7FCE"/>
    <w:rsid w:val="005E0B46"/>
    <w:rsid w:val="005E1D45"/>
    <w:rsid w:val="005E2926"/>
    <w:rsid w:val="005E2E7F"/>
    <w:rsid w:val="005E38BD"/>
    <w:rsid w:val="005E3D7F"/>
    <w:rsid w:val="005E488B"/>
    <w:rsid w:val="005E4C72"/>
    <w:rsid w:val="005E5865"/>
    <w:rsid w:val="005E6194"/>
    <w:rsid w:val="005E703A"/>
    <w:rsid w:val="005E7406"/>
    <w:rsid w:val="005F25D5"/>
    <w:rsid w:val="005F281E"/>
    <w:rsid w:val="005F40D9"/>
    <w:rsid w:val="005F56EB"/>
    <w:rsid w:val="005F58A6"/>
    <w:rsid w:val="005F6336"/>
    <w:rsid w:val="005F68B9"/>
    <w:rsid w:val="005F7011"/>
    <w:rsid w:val="005F7033"/>
    <w:rsid w:val="005F74E1"/>
    <w:rsid w:val="005F7A22"/>
    <w:rsid w:val="005F7BA8"/>
    <w:rsid w:val="006003F0"/>
    <w:rsid w:val="0060118C"/>
    <w:rsid w:val="00601528"/>
    <w:rsid w:val="006015D9"/>
    <w:rsid w:val="00604E08"/>
    <w:rsid w:val="00605CF1"/>
    <w:rsid w:val="006075D2"/>
    <w:rsid w:val="00607AB6"/>
    <w:rsid w:val="006100E4"/>
    <w:rsid w:val="006111B4"/>
    <w:rsid w:val="0061192A"/>
    <w:rsid w:val="006124A8"/>
    <w:rsid w:val="006137D9"/>
    <w:rsid w:val="00613FA8"/>
    <w:rsid w:val="006147A3"/>
    <w:rsid w:val="0061603A"/>
    <w:rsid w:val="00616AFF"/>
    <w:rsid w:val="0061703B"/>
    <w:rsid w:val="00617078"/>
    <w:rsid w:val="006177A9"/>
    <w:rsid w:val="00617DAF"/>
    <w:rsid w:val="0062076F"/>
    <w:rsid w:val="006209D3"/>
    <w:rsid w:val="006225D4"/>
    <w:rsid w:val="00622DEE"/>
    <w:rsid w:val="00622E6B"/>
    <w:rsid w:val="00622E8C"/>
    <w:rsid w:val="00622EBE"/>
    <w:rsid w:val="006234DF"/>
    <w:rsid w:val="006239A9"/>
    <w:rsid w:val="006239DA"/>
    <w:rsid w:val="00624DCF"/>
    <w:rsid w:val="00624E2C"/>
    <w:rsid w:val="00626611"/>
    <w:rsid w:val="00635F92"/>
    <w:rsid w:val="00637B20"/>
    <w:rsid w:val="00640B5A"/>
    <w:rsid w:val="00640F9A"/>
    <w:rsid w:val="00642589"/>
    <w:rsid w:val="00642766"/>
    <w:rsid w:val="00646CC2"/>
    <w:rsid w:val="00646F83"/>
    <w:rsid w:val="0064749F"/>
    <w:rsid w:val="00647CBD"/>
    <w:rsid w:val="00647F6C"/>
    <w:rsid w:val="0065365B"/>
    <w:rsid w:val="00654FF8"/>
    <w:rsid w:val="00657B89"/>
    <w:rsid w:val="006619EC"/>
    <w:rsid w:val="00661BEC"/>
    <w:rsid w:val="00663F61"/>
    <w:rsid w:val="0066474A"/>
    <w:rsid w:val="00664A79"/>
    <w:rsid w:val="00665951"/>
    <w:rsid w:val="00670EEA"/>
    <w:rsid w:val="0067498D"/>
    <w:rsid w:val="006760CC"/>
    <w:rsid w:val="00676455"/>
    <w:rsid w:val="006768E6"/>
    <w:rsid w:val="00676EBA"/>
    <w:rsid w:val="0067707D"/>
    <w:rsid w:val="00677BF2"/>
    <w:rsid w:val="00677F90"/>
    <w:rsid w:val="006803AD"/>
    <w:rsid w:val="00681D74"/>
    <w:rsid w:val="00682578"/>
    <w:rsid w:val="00683A9D"/>
    <w:rsid w:val="00683CFC"/>
    <w:rsid w:val="006849AC"/>
    <w:rsid w:val="00686062"/>
    <w:rsid w:val="0068744C"/>
    <w:rsid w:val="00690082"/>
    <w:rsid w:val="0069308E"/>
    <w:rsid w:val="00693611"/>
    <w:rsid w:val="00693974"/>
    <w:rsid w:val="0069407D"/>
    <w:rsid w:val="00694DB3"/>
    <w:rsid w:val="00695D89"/>
    <w:rsid w:val="006971A0"/>
    <w:rsid w:val="00697D85"/>
    <w:rsid w:val="00697FC0"/>
    <w:rsid w:val="006A3D7C"/>
    <w:rsid w:val="006A3F53"/>
    <w:rsid w:val="006A781F"/>
    <w:rsid w:val="006A7A52"/>
    <w:rsid w:val="006B09BA"/>
    <w:rsid w:val="006B254A"/>
    <w:rsid w:val="006C12CA"/>
    <w:rsid w:val="006C1502"/>
    <w:rsid w:val="006C277F"/>
    <w:rsid w:val="006C40C8"/>
    <w:rsid w:val="006C7228"/>
    <w:rsid w:val="006C7A3E"/>
    <w:rsid w:val="006D03B3"/>
    <w:rsid w:val="006D049E"/>
    <w:rsid w:val="006D09B4"/>
    <w:rsid w:val="006D14C4"/>
    <w:rsid w:val="006D32CD"/>
    <w:rsid w:val="006D3512"/>
    <w:rsid w:val="006D37D3"/>
    <w:rsid w:val="006D4378"/>
    <w:rsid w:val="006D4A19"/>
    <w:rsid w:val="006D5159"/>
    <w:rsid w:val="006D598B"/>
    <w:rsid w:val="006D5C31"/>
    <w:rsid w:val="006D7259"/>
    <w:rsid w:val="006E1201"/>
    <w:rsid w:val="006E1561"/>
    <w:rsid w:val="006E1819"/>
    <w:rsid w:val="006E2876"/>
    <w:rsid w:val="006E6231"/>
    <w:rsid w:val="006E69BC"/>
    <w:rsid w:val="006E758A"/>
    <w:rsid w:val="006F0C90"/>
    <w:rsid w:val="006F10EF"/>
    <w:rsid w:val="006F3060"/>
    <w:rsid w:val="006F3628"/>
    <w:rsid w:val="006F5C8B"/>
    <w:rsid w:val="006F69F8"/>
    <w:rsid w:val="006F7818"/>
    <w:rsid w:val="006F78A9"/>
    <w:rsid w:val="0070021F"/>
    <w:rsid w:val="007021CC"/>
    <w:rsid w:val="007042F9"/>
    <w:rsid w:val="007049D2"/>
    <w:rsid w:val="007070C3"/>
    <w:rsid w:val="007076E9"/>
    <w:rsid w:val="00710342"/>
    <w:rsid w:val="007109B1"/>
    <w:rsid w:val="007113A5"/>
    <w:rsid w:val="00712590"/>
    <w:rsid w:val="0071300C"/>
    <w:rsid w:val="007132C0"/>
    <w:rsid w:val="00721805"/>
    <w:rsid w:val="00721E12"/>
    <w:rsid w:val="00721FB8"/>
    <w:rsid w:val="007312C7"/>
    <w:rsid w:val="00733B54"/>
    <w:rsid w:val="00734C4B"/>
    <w:rsid w:val="00735D32"/>
    <w:rsid w:val="00736C7E"/>
    <w:rsid w:val="00740D89"/>
    <w:rsid w:val="00740E03"/>
    <w:rsid w:val="0074472D"/>
    <w:rsid w:val="007457C3"/>
    <w:rsid w:val="00746C7B"/>
    <w:rsid w:val="007477E3"/>
    <w:rsid w:val="007479A0"/>
    <w:rsid w:val="0075062A"/>
    <w:rsid w:val="00750E31"/>
    <w:rsid w:val="00750F67"/>
    <w:rsid w:val="00752102"/>
    <w:rsid w:val="007527F4"/>
    <w:rsid w:val="00753453"/>
    <w:rsid w:val="00754426"/>
    <w:rsid w:val="007545E5"/>
    <w:rsid w:val="007551CD"/>
    <w:rsid w:val="007561B5"/>
    <w:rsid w:val="0075648B"/>
    <w:rsid w:val="00756E74"/>
    <w:rsid w:val="0075705A"/>
    <w:rsid w:val="00757C49"/>
    <w:rsid w:val="00757C6F"/>
    <w:rsid w:val="00762EE2"/>
    <w:rsid w:val="0076315B"/>
    <w:rsid w:val="007638DA"/>
    <w:rsid w:val="00764A27"/>
    <w:rsid w:val="00765C98"/>
    <w:rsid w:val="007663A5"/>
    <w:rsid w:val="007665A7"/>
    <w:rsid w:val="00767180"/>
    <w:rsid w:val="00770176"/>
    <w:rsid w:val="007701A2"/>
    <w:rsid w:val="007703AB"/>
    <w:rsid w:val="00771771"/>
    <w:rsid w:val="0077354C"/>
    <w:rsid w:val="00773828"/>
    <w:rsid w:val="00773981"/>
    <w:rsid w:val="00773F31"/>
    <w:rsid w:val="007743C7"/>
    <w:rsid w:val="00774437"/>
    <w:rsid w:val="00775660"/>
    <w:rsid w:val="0077595E"/>
    <w:rsid w:val="00775FAA"/>
    <w:rsid w:val="007779DA"/>
    <w:rsid w:val="00777ACA"/>
    <w:rsid w:val="00780271"/>
    <w:rsid w:val="00780FAF"/>
    <w:rsid w:val="007810DF"/>
    <w:rsid w:val="0078144C"/>
    <w:rsid w:val="00783C96"/>
    <w:rsid w:val="0078431D"/>
    <w:rsid w:val="00784C0A"/>
    <w:rsid w:val="0078547F"/>
    <w:rsid w:val="00785AC7"/>
    <w:rsid w:val="00785C07"/>
    <w:rsid w:val="00787599"/>
    <w:rsid w:val="00790667"/>
    <w:rsid w:val="00791E8B"/>
    <w:rsid w:val="0079306A"/>
    <w:rsid w:val="00796302"/>
    <w:rsid w:val="00796FDF"/>
    <w:rsid w:val="0079746A"/>
    <w:rsid w:val="00797BF7"/>
    <w:rsid w:val="007A0D0F"/>
    <w:rsid w:val="007A1A10"/>
    <w:rsid w:val="007A1D2D"/>
    <w:rsid w:val="007A3737"/>
    <w:rsid w:val="007A3A90"/>
    <w:rsid w:val="007A4342"/>
    <w:rsid w:val="007A4755"/>
    <w:rsid w:val="007A57A2"/>
    <w:rsid w:val="007A7149"/>
    <w:rsid w:val="007A769F"/>
    <w:rsid w:val="007B0DAD"/>
    <w:rsid w:val="007B1624"/>
    <w:rsid w:val="007B188B"/>
    <w:rsid w:val="007B1ADE"/>
    <w:rsid w:val="007B2EE2"/>
    <w:rsid w:val="007B4049"/>
    <w:rsid w:val="007B463A"/>
    <w:rsid w:val="007B6258"/>
    <w:rsid w:val="007B75DF"/>
    <w:rsid w:val="007B7D02"/>
    <w:rsid w:val="007B7EAB"/>
    <w:rsid w:val="007C0004"/>
    <w:rsid w:val="007C0ED7"/>
    <w:rsid w:val="007C1AA8"/>
    <w:rsid w:val="007C1BFF"/>
    <w:rsid w:val="007C2497"/>
    <w:rsid w:val="007C343F"/>
    <w:rsid w:val="007C52AC"/>
    <w:rsid w:val="007C5B1E"/>
    <w:rsid w:val="007C5EB2"/>
    <w:rsid w:val="007C61AF"/>
    <w:rsid w:val="007C69CC"/>
    <w:rsid w:val="007C73AD"/>
    <w:rsid w:val="007C7FDB"/>
    <w:rsid w:val="007D0EC9"/>
    <w:rsid w:val="007D152B"/>
    <w:rsid w:val="007D2973"/>
    <w:rsid w:val="007D43A4"/>
    <w:rsid w:val="007D4A76"/>
    <w:rsid w:val="007D4B40"/>
    <w:rsid w:val="007D5E87"/>
    <w:rsid w:val="007D7332"/>
    <w:rsid w:val="007D75A4"/>
    <w:rsid w:val="007E0890"/>
    <w:rsid w:val="007E111A"/>
    <w:rsid w:val="007E1B0E"/>
    <w:rsid w:val="007E3427"/>
    <w:rsid w:val="007E5267"/>
    <w:rsid w:val="007E5BDF"/>
    <w:rsid w:val="007E6E2C"/>
    <w:rsid w:val="007F020C"/>
    <w:rsid w:val="007F18EA"/>
    <w:rsid w:val="007F1E8D"/>
    <w:rsid w:val="007F240A"/>
    <w:rsid w:val="007F3105"/>
    <w:rsid w:val="007F383A"/>
    <w:rsid w:val="007F3FF0"/>
    <w:rsid w:val="007F4ABF"/>
    <w:rsid w:val="007F5C99"/>
    <w:rsid w:val="007F6E87"/>
    <w:rsid w:val="007F70DF"/>
    <w:rsid w:val="007F7E53"/>
    <w:rsid w:val="00800EBE"/>
    <w:rsid w:val="00801906"/>
    <w:rsid w:val="00801FB8"/>
    <w:rsid w:val="00802F6E"/>
    <w:rsid w:val="008031BE"/>
    <w:rsid w:val="00805A72"/>
    <w:rsid w:val="008064CA"/>
    <w:rsid w:val="00807AF5"/>
    <w:rsid w:val="0081036E"/>
    <w:rsid w:val="0081086A"/>
    <w:rsid w:val="00810A53"/>
    <w:rsid w:val="00811ECC"/>
    <w:rsid w:val="008134F4"/>
    <w:rsid w:val="008157BF"/>
    <w:rsid w:val="0081783D"/>
    <w:rsid w:val="00817BAC"/>
    <w:rsid w:val="008206F8"/>
    <w:rsid w:val="00820D63"/>
    <w:rsid w:val="008212FA"/>
    <w:rsid w:val="00822583"/>
    <w:rsid w:val="0082325C"/>
    <w:rsid w:val="008242D6"/>
    <w:rsid w:val="00824566"/>
    <w:rsid w:val="008249F8"/>
    <w:rsid w:val="00826FCB"/>
    <w:rsid w:val="0082712D"/>
    <w:rsid w:val="00830E2F"/>
    <w:rsid w:val="00831255"/>
    <w:rsid w:val="00832DAB"/>
    <w:rsid w:val="00832E6F"/>
    <w:rsid w:val="008337B5"/>
    <w:rsid w:val="008338DA"/>
    <w:rsid w:val="00834EAE"/>
    <w:rsid w:val="00835BE6"/>
    <w:rsid w:val="00836761"/>
    <w:rsid w:val="008374B0"/>
    <w:rsid w:val="0083755F"/>
    <w:rsid w:val="00840256"/>
    <w:rsid w:val="00842976"/>
    <w:rsid w:val="00842ABB"/>
    <w:rsid w:val="00843C56"/>
    <w:rsid w:val="00844C30"/>
    <w:rsid w:val="00845C3B"/>
    <w:rsid w:val="00845D97"/>
    <w:rsid w:val="008516B3"/>
    <w:rsid w:val="008516DD"/>
    <w:rsid w:val="00852E18"/>
    <w:rsid w:val="0085338B"/>
    <w:rsid w:val="0085387D"/>
    <w:rsid w:val="00853F5C"/>
    <w:rsid w:val="00854223"/>
    <w:rsid w:val="0085445A"/>
    <w:rsid w:val="00854BF8"/>
    <w:rsid w:val="00855110"/>
    <w:rsid w:val="00855164"/>
    <w:rsid w:val="0085758E"/>
    <w:rsid w:val="00857722"/>
    <w:rsid w:val="00857790"/>
    <w:rsid w:val="008607B2"/>
    <w:rsid w:val="0086119F"/>
    <w:rsid w:val="00861664"/>
    <w:rsid w:val="00861842"/>
    <w:rsid w:val="00861FE5"/>
    <w:rsid w:val="008622D6"/>
    <w:rsid w:val="008626A6"/>
    <w:rsid w:val="00864A8B"/>
    <w:rsid w:val="00865A6C"/>
    <w:rsid w:val="008660B5"/>
    <w:rsid w:val="0086641D"/>
    <w:rsid w:val="00866718"/>
    <w:rsid w:val="0087013C"/>
    <w:rsid w:val="00871181"/>
    <w:rsid w:val="0087137E"/>
    <w:rsid w:val="00871D39"/>
    <w:rsid w:val="00872FDD"/>
    <w:rsid w:val="008730C6"/>
    <w:rsid w:val="00873152"/>
    <w:rsid w:val="008739CB"/>
    <w:rsid w:val="00874E1D"/>
    <w:rsid w:val="008762F6"/>
    <w:rsid w:val="008779E4"/>
    <w:rsid w:val="008800AC"/>
    <w:rsid w:val="0088060E"/>
    <w:rsid w:val="008815DD"/>
    <w:rsid w:val="0088166B"/>
    <w:rsid w:val="00881E2B"/>
    <w:rsid w:val="00884704"/>
    <w:rsid w:val="008853B7"/>
    <w:rsid w:val="008857FD"/>
    <w:rsid w:val="00886F8C"/>
    <w:rsid w:val="008909C4"/>
    <w:rsid w:val="00891668"/>
    <w:rsid w:val="00892448"/>
    <w:rsid w:val="0089267C"/>
    <w:rsid w:val="00892723"/>
    <w:rsid w:val="0089328D"/>
    <w:rsid w:val="008932CF"/>
    <w:rsid w:val="00894113"/>
    <w:rsid w:val="00894342"/>
    <w:rsid w:val="00894410"/>
    <w:rsid w:val="00894728"/>
    <w:rsid w:val="00894CB7"/>
    <w:rsid w:val="00895DE5"/>
    <w:rsid w:val="00895FC9"/>
    <w:rsid w:val="00896424"/>
    <w:rsid w:val="008A28DA"/>
    <w:rsid w:val="008A2A8C"/>
    <w:rsid w:val="008A313D"/>
    <w:rsid w:val="008A6AC7"/>
    <w:rsid w:val="008B0140"/>
    <w:rsid w:val="008B0185"/>
    <w:rsid w:val="008B06C0"/>
    <w:rsid w:val="008B0A79"/>
    <w:rsid w:val="008B1EA5"/>
    <w:rsid w:val="008B24FC"/>
    <w:rsid w:val="008B2B07"/>
    <w:rsid w:val="008B2B37"/>
    <w:rsid w:val="008B366A"/>
    <w:rsid w:val="008B394A"/>
    <w:rsid w:val="008B44D8"/>
    <w:rsid w:val="008B607F"/>
    <w:rsid w:val="008B6452"/>
    <w:rsid w:val="008B7813"/>
    <w:rsid w:val="008C0B55"/>
    <w:rsid w:val="008C1161"/>
    <w:rsid w:val="008C1EDE"/>
    <w:rsid w:val="008C2C76"/>
    <w:rsid w:val="008C32EB"/>
    <w:rsid w:val="008C34ED"/>
    <w:rsid w:val="008C3E9F"/>
    <w:rsid w:val="008C46F0"/>
    <w:rsid w:val="008C62BF"/>
    <w:rsid w:val="008C6566"/>
    <w:rsid w:val="008C7B46"/>
    <w:rsid w:val="008D0514"/>
    <w:rsid w:val="008D0674"/>
    <w:rsid w:val="008D1BC3"/>
    <w:rsid w:val="008D1C09"/>
    <w:rsid w:val="008D276F"/>
    <w:rsid w:val="008D4AAC"/>
    <w:rsid w:val="008D5BAA"/>
    <w:rsid w:val="008D5DAB"/>
    <w:rsid w:val="008D7351"/>
    <w:rsid w:val="008D78F5"/>
    <w:rsid w:val="008D7C87"/>
    <w:rsid w:val="008D7D26"/>
    <w:rsid w:val="008E0450"/>
    <w:rsid w:val="008E0B91"/>
    <w:rsid w:val="008E0CE3"/>
    <w:rsid w:val="008E0D52"/>
    <w:rsid w:val="008E1545"/>
    <w:rsid w:val="008E3D50"/>
    <w:rsid w:val="008E6175"/>
    <w:rsid w:val="008E75DF"/>
    <w:rsid w:val="008F02FF"/>
    <w:rsid w:val="008F0CB3"/>
    <w:rsid w:val="008F15C9"/>
    <w:rsid w:val="008F26E0"/>
    <w:rsid w:val="008F31A2"/>
    <w:rsid w:val="008F3C7D"/>
    <w:rsid w:val="008F4796"/>
    <w:rsid w:val="008F4A6E"/>
    <w:rsid w:val="008F6B9E"/>
    <w:rsid w:val="008F7F9E"/>
    <w:rsid w:val="0090070F"/>
    <w:rsid w:val="00900A0F"/>
    <w:rsid w:val="009016B6"/>
    <w:rsid w:val="00902984"/>
    <w:rsid w:val="00902AE1"/>
    <w:rsid w:val="00903039"/>
    <w:rsid w:val="00903771"/>
    <w:rsid w:val="009038A8"/>
    <w:rsid w:val="009047A5"/>
    <w:rsid w:val="009049A9"/>
    <w:rsid w:val="00904B11"/>
    <w:rsid w:val="009050D9"/>
    <w:rsid w:val="00906E2A"/>
    <w:rsid w:val="0090726A"/>
    <w:rsid w:val="00907B0E"/>
    <w:rsid w:val="00907CB8"/>
    <w:rsid w:val="00907EDF"/>
    <w:rsid w:val="00910660"/>
    <w:rsid w:val="00910807"/>
    <w:rsid w:val="00911DE3"/>
    <w:rsid w:val="00911FDB"/>
    <w:rsid w:val="0091295F"/>
    <w:rsid w:val="00913935"/>
    <w:rsid w:val="00916F14"/>
    <w:rsid w:val="009203F7"/>
    <w:rsid w:val="009219BD"/>
    <w:rsid w:val="00923D51"/>
    <w:rsid w:val="00925355"/>
    <w:rsid w:val="00925489"/>
    <w:rsid w:val="009265E6"/>
    <w:rsid w:val="00926ADB"/>
    <w:rsid w:val="00927B44"/>
    <w:rsid w:val="00927C9F"/>
    <w:rsid w:val="00927E56"/>
    <w:rsid w:val="009301D5"/>
    <w:rsid w:val="00930E96"/>
    <w:rsid w:val="00930F04"/>
    <w:rsid w:val="00931BA1"/>
    <w:rsid w:val="00932646"/>
    <w:rsid w:val="009346D8"/>
    <w:rsid w:val="00934936"/>
    <w:rsid w:val="00936F35"/>
    <w:rsid w:val="009372DB"/>
    <w:rsid w:val="009373A0"/>
    <w:rsid w:val="009401D2"/>
    <w:rsid w:val="00940FCC"/>
    <w:rsid w:val="00944158"/>
    <w:rsid w:val="00946C32"/>
    <w:rsid w:val="00950ADE"/>
    <w:rsid w:val="00950DE6"/>
    <w:rsid w:val="00951C2B"/>
    <w:rsid w:val="009524C5"/>
    <w:rsid w:val="00952728"/>
    <w:rsid w:val="0095502B"/>
    <w:rsid w:val="00955997"/>
    <w:rsid w:val="009571B1"/>
    <w:rsid w:val="00957B4B"/>
    <w:rsid w:val="009600E7"/>
    <w:rsid w:val="00961164"/>
    <w:rsid w:val="009617CA"/>
    <w:rsid w:val="0096303A"/>
    <w:rsid w:val="0096574B"/>
    <w:rsid w:val="009670A4"/>
    <w:rsid w:val="00967DC4"/>
    <w:rsid w:val="0097176C"/>
    <w:rsid w:val="00972C58"/>
    <w:rsid w:val="00974056"/>
    <w:rsid w:val="009741D0"/>
    <w:rsid w:val="00974441"/>
    <w:rsid w:val="00977744"/>
    <w:rsid w:val="00982C88"/>
    <w:rsid w:val="00983A91"/>
    <w:rsid w:val="00983E70"/>
    <w:rsid w:val="0098528C"/>
    <w:rsid w:val="00986FCF"/>
    <w:rsid w:val="00987734"/>
    <w:rsid w:val="00987F8B"/>
    <w:rsid w:val="00993C43"/>
    <w:rsid w:val="009940D8"/>
    <w:rsid w:val="00994998"/>
    <w:rsid w:val="0099553A"/>
    <w:rsid w:val="00996577"/>
    <w:rsid w:val="00996856"/>
    <w:rsid w:val="009A127F"/>
    <w:rsid w:val="009A1330"/>
    <w:rsid w:val="009A6275"/>
    <w:rsid w:val="009A6536"/>
    <w:rsid w:val="009B1693"/>
    <w:rsid w:val="009B16DF"/>
    <w:rsid w:val="009B2E2E"/>
    <w:rsid w:val="009B3988"/>
    <w:rsid w:val="009B3CA2"/>
    <w:rsid w:val="009B3D23"/>
    <w:rsid w:val="009B4477"/>
    <w:rsid w:val="009B4633"/>
    <w:rsid w:val="009B6383"/>
    <w:rsid w:val="009B67A3"/>
    <w:rsid w:val="009B6F8C"/>
    <w:rsid w:val="009B7208"/>
    <w:rsid w:val="009B7C80"/>
    <w:rsid w:val="009C0D8F"/>
    <w:rsid w:val="009C216C"/>
    <w:rsid w:val="009C338D"/>
    <w:rsid w:val="009C382A"/>
    <w:rsid w:val="009C48B9"/>
    <w:rsid w:val="009C4E4D"/>
    <w:rsid w:val="009C5B87"/>
    <w:rsid w:val="009C7469"/>
    <w:rsid w:val="009D115B"/>
    <w:rsid w:val="009D13B9"/>
    <w:rsid w:val="009D1645"/>
    <w:rsid w:val="009D23F9"/>
    <w:rsid w:val="009D258C"/>
    <w:rsid w:val="009D33AC"/>
    <w:rsid w:val="009D4AFC"/>
    <w:rsid w:val="009D4D74"/>
    <w:rsid w:val="009D5FB5"/>
    <w:rsid w:val="009E01F4"/>
    <w:rsid w:val="009E27D0"/>
    <w:rsid w:val="009E3BC8"/>
    <w:rsid w:val="009E47BF"/>
    <w:rsid w:val="009E4E8B"/>
    <w:rsid w:val="009E4F57"/>
    <w:rsid w:val="009E50D4"/>
    <w:rsid w:val="009E5792"/>
    <w:rsid w:val="009E6E3E"/>
    <w:rsid w:val="009E74F7"/>
    <w:rsid w:val="009F0150"/>
    <w:rsid w:val="009F018B"/>
    <w:rsid w:val="009F2322"/>
    <w:rsid w:val="009F27DE"/>
    <w:rsid w:val="009F2F9C"/>
    <w:rsid w:val="009F422B"/>
    <w:rsid w:val="009F4894"/>
    <w:rsid w:val="009F5874"/>
    <w:rsid w:val="009F788D"/>
    <w:rsid w:val="009F78F5"/>
    <w:rsid w:val="009F7EFA"/>
    <w:rsid w:val="00A007D5"/>
    <w:rsid w:val="00A01252"/>
    <w:rsid w:val="00A01F7F"/>
    <w:rsid w:val="00A027D9"/>
    <w:rsid w:val="00A0345F"/>
    <w:rsid w:val="00A0390B"/>
    <w:rsid w:val="00A04280"/>
    <w:rsid w:val="00A0434E"/>
    <w:rsid w:val="00A0504D"/>
    <w:rsid w:val="00A05737"/>
    <w:rsid w:val="00A06173"/>
    <w:rsid w:val="00A07008"/>
    <w:rsid w:val="00A07C43"/>
    <w:rsid w:val="00A1004A"/>
    <w:rsid w:val="00A10394"/>
    <w:rsid w:val="00A10E05"/>
    <w:rsid w:val="00A10EF3"/>
    <w:rsid w:val="00A11B6A"/>
    <w:rsid w:val="00A14368"/>
    <w:rsid w:val="00A14C91"/>
    <w:rsid w:val="00A1553C"/>
    <w:rsid w:val="00A17BBA"/>
    <w:rsid w:val="00A20A3C"/>
    <w:rsid w:val="00A2138C"/>
    <w:rsid w:val="00A215F1"/>
    <w:rsid w:val="00A21845"/>
    <w:rsid w:val="00A21E49"/>
    <w:rsid w:val="00A220CD"/>
    <w:rsid w:val="00A22CC3"/>
    <w:rsid w:val="00A22D5E"/>
    <w:rsid w:val="00A2434D"/>
    <w:rsid w:val="00A253B7"/>
    <w:rsid w:val="00A255E6"/>
    <w:rsid w:val="00A25B0D"/>
    <w:rsid w:val="00A2637C"/>
    <w:rsid w:val="00A26BAA"/>
    <w:rsid w:val="00A27F9F"/>
    <w:rsid w:val="00A30A66"/>
    <w:rsid w:val="00A30DC5"/>
    <w:rsid w:val="00A3255A"/>
    <w:rsid w:val="00A32AF3"/>
    <w:rsid w:val="00A33259"/>
    <w:rsid w:val="00A33372"/>
    <w:rsid w:val="00A35C31"/>
    <w:rsid w:val="00A36D6E"/>
    <w:rsid w:val="00A378D6"/>
    <w:rsid w:val="00A37B13"/>
    <w:rsid w:val="00A40609"/>
    <w:rsid w:val="00A40BBD"/>
    <w:rsid w:val="00A420FE"/>
    <w:rsid w:val="00A42254"/>
    <w:rsid w:val="00A42390"/>
    <w:rsid w:val="00A43035"/>
    <w:rsid w:val="00A43182"/>
    <w:rsid w:val="00A444EB"/>
    <w:rsid w:val="00A44A2F"/>
    <w:rsid w:val="00A451E5"/>
    <w:rsid w:val="00A4538B"/>
    <w:rsid w:val="00A46B0F"/>
    <w:rsid w:val="00A46D53"/>
    <w:rsid w:val="00A47BEC"/>
    <w:rsid w:val="00A47EA5"/>
    <w:rsid w:val="00A50E51"/>
    <w:rsid w:val="00A516B0"/>
    <w:rsid w:val="00A51AF9"/>
    <w:rsid w:val="00A523F3"/>
    <w:rsid w:val="00A525FD"/>
    <w:rsid w:val="00A52918"/>
    <w:rsid w:val="00A53059"/>
    <w:rsid w:val="00A53819"/>
    <w:rsid w:val="00A554D7"/>
    <w:rsid w:val="00A556FD"/>
    <w:rsid w:val="00A55D58"/>
    <w:rsid w:val="00A56227"/>
    <w:rsid w:val="00A56339"/>
    <w:rsid w:val="00A572DC"/>
    <w:rsid w:val="00A573AC"/>
    <w:rsid w:val="00A60701"/>
    <w:rsid w:val="00A60EED"/>
    <w:rsid w:val="00A61922"/>
    <w:rsid w:val="00A62765"/>
    <w:rsid w:val="00A62ACC"/>
    <w:rsid w:val="00A63320"/>
    <w:rsid w:val="00A644C6"/>
    <w:rsid w:val="00A656FD"/>
    <w:rsid w:val="00A6622C"/>
    <w:rsid w:val="00A66875"/>
    <w:rsid w:val="00A66ED9"/>
    <w:rsid w:val="00A67E98"/>
    <w:rsid w:val="00A72066"/>
    <w:rsid w:val="00A73A93"/>
    <w:rsid w:val="00A747FD"/>
    <w:rsid w:val="00A75619"/>
    <w:rsid w:val="00A75E61"/>
    <w:rsid w:val="00A7781A"/>
    <w:rsid w:val="00A80589"/>
    <w:rsid w:val="00A80EE4"/>
    <w:rsid w:val="00A812FE"/>
    <w:rsid w:val="00A814AD"/>
    <w:rsid w:val="00A81790"/>
    <w:rsid w:val="00A81ADA"/>
    <w:rsid w:val="00A81B98"/>
    <w:rsid w:val="00A833D8"/>
    <w:rsid w:val="00A83BDB"/>
    <w:rsid w:val="00A840BF"/>
    <w:rsid w:val="00A849B5"/>
    <w:rsid w:val="00A84D3C"/>
    <w:rsid w:val="00A855AC"/>
    <w:rsid w:val="00A8797B"/>
    <w:rsid w:val="00A92E58"/>
    <w:rsid w:val="00A932A4"/>
    <w:rsid w:val="00A939C2"/>
    <w:rsid w:val="00A94264"/>
    <w:rsid w:val="00A94BD6"/>
    <w:rsid w:val="00A9545A"/>
    <w:rsid w:val="00A959D6"/>
    <w:rsid w:val="00A95D4D"/>
    <w:rsid w:val="00A9612A"/>
    <w:rsid w:val="00A97AFA"/>
    <w:rsid w:val="00AA1C7F"/>
    <w:rsid w:val="00AA367C"/>
    <w:rsid w:val="00AA5778"/>
    <w:rsid w:val="00AA5CBC"/>
    <w:rsid w:val="00AA6BF8"/>
    <w:rsid w:val="00AB0A80"/>
    <w:rsid w:val="00AB181D"/>
    <w:rsid w:val="00AB30D7"/>
    <w:rsid w:val="00AB3342"/>
    <w:rsid w:val="00AB3BAA"/>
    <w:rsid w:val="00AB454E"/>
    <w:rsid w:val="00AB65CF"/>
    <w:rsid w:val="00AB65E6"/>
    <w:rsid w:val="00AC155A"/>
    <w:rsid w:val="00AC167C"/>
    <w:rsid w:val="00AC1A94"/>
    <w:rsid w:val="00AC3033"/>
    <w:rsid w:val="00AC33A9"/>
    <w:rsid w:val="00AC4F99"/>
    <w:rsid w:val="00AC5E0B"/>
    <w:rsid w:val="00AC609E"/>
    <w:rsid w:val="00AC6759"/>
    <w:rsid w:val="00AC6767"/>
    <w:rsid w:val="00AC6898"/>
    <w:rsid w:val="00AC7452"/>
    <w:rsid w:val="00AD024E"/>
    <w:rsid w:val="00AD0626"/>
    <w:rsid w:val="00AD0BC5"/>
    <w:rsid w:val="00AD319F"/>
    <w:rsid w:val="00AD46C6"/>
    <w:rsid w:val="00AD69AB"/>
    <w:rsid w:val="00AD77BE"/>
    <w:rsid w:val="00AE07D9"/>
    <w:rsid w:val="00AE0F05"/>
    <w:rsid w:val="00AE2BA4"/>
    <w:rsid w:val="00AE2F93"/>
    <w:rsid w:val="00AE4AF8"/>
    <w:rsid w:val="00AE52C5"/>
    <w:rsid w:val="00AE5B3D"/>
    <w:rsid w:val="00AE7E01"/>
    <w:rsid w:val="00AF0AA6"/>
    <w:rsid w:val="00AF0C4E"/>
    <w:rsid w:val="00AF3EC7"/>
    <w:rsid w:val="00AF5A72"/>
    <w:rsid w:val="00AF5D6D"/>
    <w:rsid w:val="00AF6417"/>
    <w:rsid w:val="00B01CD0"/>
    <w:rsid w:val="00B02BA6"/>
    <w:rsid w:val="00B03178"/>
    <w:rsid w:val="00B0417D"/>
    <w:rsid w:val="00B05C3A"/>
    <w:rsid w:val="00B07338"/>
    <w:rsid w:val="00B11403"/>
    <w:rsid w:val="00B11F50"/>
    <w:rsid w:val="00B12396"/>
    <w:rsid w:val="00B12F53"/>
    <w:rsid w:val="00B135EB"/>
    <w:rsid w:val="00B1785B"/>
    <w:rsid w:val="00B2038B"/>
    <w:rsid w:val="00B20AB5"/>
    <w:rsid w:val="00B21443"/>
    <w:rsid w:val="00B221B8"/>
    <w:rsid w:val="00B22D94"/>
    <w:rsid w:val="00B23F90"/>
    <w:rsid w:val="00B24E6E"/>
    <w:rsid w:val="00B25A45"/>
    <w:rsid w:val="00B25A51"/>
    <w:rsid w:val="00B27B74"/>
    <w:rsid w:val="00B3128A"/>
    <w:rsid w:val="00B31480"/>
    <w:rsid w:val="00B31731"/>
    <w:rsid w:val="00B31BCF"/>
    <w:rsid w:val="00B3260D"/>
    <w:rsid w:val="00B32DA1"/>
    <w:rsid w:val="00B37333"/>
    <w:rsid w:val="00B41611"/>
    <w:rsid w:val="00B41BD8"/>
    <w:rsid w:val="00B42955"/>
    <w:rsid w:val="00B43525"/>
    <w:rsid w:val="00B446C0"/>
    <w:rsid w:val="00B46EE8"/>
    <w:rsid w:val="00B475CA"/>
    <w:rsid w:val="00B47F5A"/>
    <w:rsid w:val="00B502F1"/>
    <w:rsid w:val="00B51EFB"/>
    <w:rsid w:val="00B52358"/>
    <w:rsid w:val="00B53555"/>
    <w:rsid w:val="00B5408B"/>
    <w:rsid w:val="00B55AB1"/>
    <w:rsid w:val="00B57BFD"/>
    <w:rsid w:val="00B60296"/>
    <w:rsid w:val="00B61095"/>
    <w:rsid w:val="00B61900"/>
    <w:rsid w:val="00B62425"/>
    <w:rsid w:val="00B624E8"/>
    <w:rsid w:val="00B62F3D"/>
    <w:rsid w:val="00B6622A"/>
    <w:rsid w:val="00B66FC1"/>
    <w:rsid w:val="00B67A23"/>
    <w:rsid w:val="00B70C66"/>
    <w:rsid w:val="00B71231"/>
    <w:rsid w:val="00B71254"/>
    <w:rsid w:val="00B71AFD"/>
    <w:rsid w:val="00B71C5F"/>
    <w:rsid w:val="00B72BBB"/>
    <w:rsid w:val="00B73974"/>
    <w:rsid w:val="00B73EF5"/>
    <w:rsid w:val="00B74CAA"/>
    <w:rsid w:val="00B75A44"/>
    <w:rsid w:val="00B75E08"/>
    <w:rsid w:val="00B75E32"/>
    <w:rsid w:val="00B763AB"/>
    <w:rsid w:val="00B76802"/>
    <w:rsid w:val="00B76EF4"/>
    <w:rsid w:val="00B8037B"/>
    <w:rsid w:val="00B807D3"/>
    <w:rsid w:val="00B80955"/>
    <w:rsid w:val="00B81D9E"/>
    <w:rsid w:val="00B82601"/>
    <w:rsid w:val="00B82BA9"/>
    <w:rsid w:val="00B83464"/>
    <w:rsid w:val="00B839CD"/>
    <w:rsid w:val="00B83E75"/>
    <w:rsid w:val="00B844CD"/>
    <w:rsid w:val="00B8492A"/>
    <w:rsid w:val="00B93988"/>
    <w:rsid w:val="00B93B2F"/>
    <w:rsid w:val="00B9454E"/>
    <w:rsid w:val="00B94990"/>
    <w:rsid w:val="00B94ADF"/>
    <w:rsid w:val="00B969A4"/>
    <w:rsid w:val="00BA1FA3"/>
    <w:rsid w:val="00BA30A5"/>
    <w:rsid w:val="00BA3505"/>
    <w:rsid w:val="00BA45E5"/>
    <w:rsid w:val="00BA494F"/>
    <w:rsid w:val="00BA75BE"/>
    <w:rsid w:val="00BA76B9"/>
    <w:rsid w:val="00BA78C3"/>
    <w:rsid w:val="00BB0D44"/>
    <w:rsid w:val="00BB2294"/>
    <w:rsid w:val="00BC05E1"/>
    <w:rsid w:val="00BC0879"/>
    <w:rsid w:val="00BC1449"/>
    <w:rsid w:val="00BC16A2"/>
    <w:rsid w:val="00BC1AAE"/>
    <w:rsid w:val="00BC1B1E"/>
    <w:rsid w:val="00BC207A"/>
    <w:rsid w:val="00BC2C2D"/>
    <w:rsid w:val="00BC2EB0"/>
    <w:rsid w:val="00BC36BD"/>
    <w:rsid w:val="00BC394C"/>
    <w:rsid w:val="00BC41FC"/>
    <w:rsid w:val="00BC4673"/>
    <w:rsid w:val="00BC471C"/>
    <w:rsid w:val="00BC523A"/>
    <w:rsid w:val="00BC58EE"/>
    <w:rsid w:val="00BD0DE1"/>
    <w:rsid w:val="00BD4AF6"/>
    <w:rsid w:val="00BD5A78"/>
    <w:rsid w:val="00BD5FAD"/>
    <w:rsid w:val="00BD6278"/>
    <w:rsid w:val="00BD749E"/>
    <w:rsid w:val="00BE14A5"/>
    <w:rsid w:val="00BE1572"/>
    <w:rsid w:val="00BE28A7"/>
    <w:rsid w:val="00BE6A1E"/>
    <w:rsid w:val="00BE6ED3"/>
    <w:rsid w:val="00BE71E2"/>
    <w:rsid w:val="00BE72BB"/>
    <w:rsid w:val="00BE7741"/>
    <w:rsid w:val="00BF1374"/>
    <w:rsid w:val="00BF1F55"/>
    <w:rsid w:val="00BF218D"/>
    <w:rsid w:val="00BF3D50"/>
    <w:rsid w:val="00BF3D7C"/>
    <w:rsid w:val="00BF3F54"/>
    <w:rsid w:val="00BF4831"/>
    <w:rsid w:val="00BF5336"/>
    <w:rsid w:val="00BF557B"/>
    <w:rsid w:val="00BF59D7"/>
    <w:rsid w:val="00C01741"/>
    <w:rsid w:val="00C01F79"/>
    <w:rsid w:val="00C023BA"/>
    <w:rsid w:val="00C023FB"/>
    <w:rsid w:val="00C03D5A"/>
    <w:rsid w:val="00C0478B"/>
    <w:rsid w:val="00C04D72"/>
    <w:rsid w:val="00C054CE"/>
    <w:rsid w:val="00C05740"/>
    <w:rsid w:val="00C05F87"/>
    <w:rsid w:val="00C06B7B"/>
    <w:rsid w:val="00C07E35"/>
    <w:rsid w:val="00C10D6C"/>
    <w:rsid w:val="00C11510"/>
    <w:rsid w:val="00C122DE"/>
    <w:rsid w:val="00C12B0A"/>
    <w:rsid w:val="00C1432B"/>
    <w:rsid w:val="00C14563"/>
    <w:rsid w:val="00C157DC"/>
    <w:rsid w:val="00C17880"/>
    <w:rsid w:val="00C17B8F"/>
    <w:rsid w:val="00C2069C"/>
    <w:rsid w:val="00C221B6"/>
    <w:rsid w:val="00C230E3"/>
    <w:rsid w:val="00C23FB0"/>
    <w:rsid w:val="00C2562F"/>
    <w:rsid w:val="00C2580B"/>
    <w:rsid w:val="00C25C32"/>
    <w:rsid w:val="00C25CFB"/>
    <w:rsid w:val="00C25FBD"/>
    <w:rsid w:val="00C26314"/>
    <w:rsid w:val="00C26562"/>
    <w:rsid w:val="00C2674F"/>
    <w:rsid w:val="00C274FD"/>
    <w:rsid w:val="00C30EF0"/>
    <w:rsid w:val="00C318E7"/>
    <w:rsid w:val="00C32AAD"/>
    <w:rsid w:val="00C32C02"/>
    <w:rsid w:val="00C32FBA"/>
    <w:rsid w:val="00C333C3"/>
    <w:rsid w:val="00C33D65"/>
    <w:rsid w:val="00C34C76"/>
    <w:rsid w:val="00C3637C"/>
    <w:rsid w:val="00C363A6"/>
    <w:rsid w:val="00C3682D"/>
    <w:rsid w:val="00C40A2B"/>
    <w:rsid w:val="00C42024"/>
    <w:rsid w:val="00C4499B"/>
    <w:rsid w:val="00C45320"/>
    <w:rsid w:val="00C4689B"/>
    <w:rsid w:val="00C476D8"/>
    <w:rsid w:val="00C47D81"/>
    <w:rsid w:val="00C5028D"/>
    <w:rsid w:val="00C50CD3"/>
    <w:rsid w:val="00C50E90"/>
    <w:rsid w:val="00C51CB0"/>
    <w:rsid w:val="00C52615"/>
    <w:rsid w:val="00C538FF"/>
    <w:rsid w:val="00C54AD1"/>
    <w:rsid w:val="00C5531E"/>
    <w:rsid w:val="00C56BA6"/>
    <w:rsid w:val="00C573CC"/>
    <w:rsid w:val="00C57D89"/>
    <w:rsid w:val="00C61E7D"/>
    <w:rsid w:val="00C6289F"/>
    <w:rsid w:val="00C6311D"/>
    <w:rsid w:val="00C65149"/>
    <w:rsid w:val="00C6583C"/>
    <w:rsid w:val="00C70AFF"/>
    <w:rsid w:val="00C70B7A"/>
    <w:rsid w:val="00C7106C"/>
    <w:rsid w:val="00C713C8"/>
    <w:rsid w:val="00C72CF3"/>
    <w:rsid w:val="00C731D5"/>
    <w:rsid w:val="00C73263"/>
    <w:rsid w:val="00C73855"/>
    <w:rsid w:val="00C752ED"/>
    <w:rsid w:val="00C76709"/>
    <w:rsid w:val="00C76883"/>
    <w:rsid w:val="00C77C79"/>
    <w:rsid w:val="00C77D92"/>
    <w:rsid w:val="00C81C6B"/>
    <w:rsid w:val="00C81ED9"/>
    <w:rsid w:val="00C82366"/>
    <w:rsid w:val="00C82749"/>
    <w:rsid w:val="00C82821"/>
    <w:rsid w:val="00C82D47"/>
    <w:rsid w:val="00C8342F"/>
    <w:rsid w:val="00C879D0"/>
    <w:rsid w:val="00C87E98"/>
    <w:rsid w:val="00C902D3"/>
    <w:rsid w:val="00C90673"/>
    <w:rsid w:val="00C90C92"/>
    <w:rsid w:val="00C90D62"/>
    <w:rsid w:val="00C90EFB"/>
    <w:rsid w:val="00C90F0F"/>
    <w:rsid w:val="00C916A7"/>
    <w:rsid w:val="00C92E08"/>
    <w:rsid w:val="00C96004"/>
    <w:rsid w:val="00C97009"/>
    <w:rsid w:val="00C97DDE"/>
    <w:rsid w:val="00CA025C"/>
    <w:rsid w:val="00CA12EC"/>
    <w:rsid w:val="00CA2A74"/>
    <w:rsid w:val="00CA520D"/>
    <w:rsid w:val="00CA7465"/>
    <w:rsid w:val="00CA7979"/>
    <w:rsid w:val="00CA7F03"/>
    <w:rsid w:val="00CB0AA7"/>
    <w:rsid w:val="00CB287E"/>
    <w:rsid w:val="00CB43DF"/>
    <w:rsid w:val="00CB46C3"/>
    <w:rsid w:val="00CB52AA"/>
    <w:rsid w:val="00CC223E"/>
    <w:rsid w:val="00CC23F6"/>
    <w:rsid w:val="00CC26F8"/>
    <w:rsid w:val="00CC36A4"/>
    <w:rsid w:val="00CC5ADB"/>
    <w:rsid w:val="00CC70EC"/>
    <w:rsid w:val="00CC729A"/>
    <w:rsid w:val="00CC7944"/>
    <w:rsid w:val="00CD0A6F"/>
    <w:rsid w:val="00CD1959"/>
    <w:rsid w:val="00CD204D"/>
    <w:rsid w:val="00CD234F"/>
    <w:rsid w:val="00CD27A6"/>
    <w:rsid w:val="00CD2FA2"/>
    <w:rsid w:val="00CD33A3"/>
    <w:rsid w:val="00CD356D"/>
    <w:rsid w:val="00CD3A62"/>
    <w:rsid w:val="00CD3C87"/>
    <w:rsid w:val="00CD3D1C"/>
    <w:rsid w:val="00CD3D42"/>
    <w:rsid w:val="00CD5664"/>
    <w:rsid w:val="00CD6FCC"/>
    <w:rsid w:val="00CD7AE0"/>
    <w:rsid w:val="00CE0E42"/>
    <w:rsid w:val="00CE103D"/>
    <w:rsid w:val="00CE1267"/>
    <w:rsid w:val="00CE2BC8"/>
    <w:rsid w:val="00CE41EA"/>
    <w:rsid w:val="00CE43F8"/>
    <w:rsid w:val="00CE56CC"/>
    <w:rsid w:val="00CE7CC8"/>
    <w:rsid w:val="00CF10E1"/>
    <w:rsid w:val="00CF12A9"/>
    <w:rsid w:val="00CF159B"/>
    <w:rsid w:val="00CF179C"/>
    <w:rsid w:val="00CF2243"/>
    <w:rsid w:val="00CF2B83"/>
    <w:rsid w:val="00CF2C7F"/>
    <w:rsid w:val="00CF3481"/>
    <w:rsid w:val="00CF3A1C"/>
    <w:rsid w:val="00CF4F81"/>
    <w:rsid w:val="00CF5746"/>
    <w:rsid w:val="00CF6BA7"/>
    <w:rsid w:val="00CF7440"/>
    <w:rsid w:val="00D007AA"/>
    <w:rsid w:val="00D0088B"/>
    <w:rsid w:val="00D0484B"/>
    <w:rsid w:val="00D07494"/>
    <w:rsid w:val="00D10BEF"/>
    <w:rsid w:val="00D11314"/>
    <w:rsid w:val="00D1224A"/>
    <w:rsid w:val="00D12545"/>
    <w:rsid w:val="00D125F7"/>
    <w:rsid w:val="00D13671"/>
    <w:rsid w:val="00D14B97"/>
    <w:rsid w:val="00D14D1F"/>
    <w:rsid w:val="00D14DFC"/>
    <w:rsid w:val="00D14F3B"/>
    <w:rsid w:val="00D173E6"/>
    <w:rsid w:val="00D204D5"/>
    <w:rsid w:val="00D22FDC"/>
    <w:rsid w:val="00D26886"/>
    <w:rsid w:val="00D26AAD"/>
    <w:rsid w:val="00D26F02"/>
    <w:rsid w:val="00D30150"/>
    <w:rsid w:val="00D30732"/>
    <w:rsid w:val="00D30B67"/>
    <w:rsid w:val="00D31897"/>
    <w:rsid w:val="00D31E95"/>
    <w:rsid w:val="00D32871"/>
    <w:rsid w:val="00D33540"/>
    <w:rsid w:val="00D34026"/>
    <w:rsid w:val="00D35678"/>
    <w:rsid w:val="00D373FE"/>
    <w:rsid w:val="00D37955"/>
    <w:rsid w:val="00D40A56"/>
    <w:rsid w:val="00D41585"/>
    <w:rsid w:val="00D43771"/>
    <w:rsid w:val="00D44B4D"/>
    <w:rsid w:val="00D450DB"/>
    <w:rsid w:val="00D45A79"/>
    <w:rsid w:val="00D46A51"/>
    <w:rsid w:val="00D46C81"/>
    <w:rsid w:val="00D5012A"/>
    <w:rsid w:val="00D5090E"/>
    <w:rsid w:val="00D50AD8"/>
    <w:rsid w:val="00D50DA1"/>
    <w:rsid w:val="00D51596"/>
    <w:rsid w:val="00D51D31"/>
    <w:rsid w:val="00D5270E"/>
    <w:rsid w:val="00D5326B"/>
    <w:rsid w:val="00D5484C"/>
    <w:rsid w:val="00D561A9"/>
    <w:rsid w:val="00D56A81"/>
    <w:rsid w:val="00D570C1"/>
    <w:rsid w:val="00D602D8"/>
    <w:rsid w:val="00D61C9D"/>
    <w:rsid w:val="00D61F9B"/>
    <w:rsid w:val="00D634C5"/>
    <w:rsid w:val="00D641F6"/>
    <w:rsid w:val="00D64CBE"/>
    <w:rsid w:val="00D66842"/>
    <w:rsid w:val="00D66F60"/>
    <w:rsid w:val="00D703F3"/>
    <w:rsid w:val="00D704F7"/>
    <w:rsid w:val="00D7086D"/>
    <w:rsid w:val="00D70925"/>
    <w:rsid w:val="00D70981"/>
    <w:rsid w:val="00D716DA"/>
    <w:rsid w:val="00D7418A"/>
    <w:rsid w:val="00D74642"/>
    <w:rsid w:val="00D74711"/>
    <w:rsid w:val="00D7550A"/>
    <w:rsid w:val="00D756A6"/>
    <w:rsid w:val="00D768CA"/>
    <w:rsid w:val="00D80203"/>
    <w:rsid w:val="00D81A76"/>
    <w:rsid w:val="00D81D5E"/>
    <w:rsid w:val="00D835FE"/>
    <w:rsid w:val="00D839E6"/>
    <w:rsid w:val="00D8532F"/>
    <w:rsid w:val="00D856D8"/>
    <w:rsid w:val="00D8593D"/>
    <w:rsid w:val="00D85AE9"/>
    <w:rsid w:val="00D85CF8"/>
    <w:rsid w:val="00D86151"/>
    <w:rsid w:val="00D879D9"/>
    <w:rsid w:val="00D87B80"/>
    <w:rsid w:val="00D920C8"/>
    <w:rsid w:val="00D9238C"/>
    <w:rsid w:val="00D9296C"/>
    <w:rsid w:val="00D93707"/>
    <w:rsid w:val="00D93DEB"/>
    <w:rsid w:val="00D97527"/>
    <w:rsid w:val="00D97E01"/>
    <w:rsid w:val="00DA180A"/>
    <w:rsid w:val="00DA1E97"/>
    <w:rsid w:val="00DA4238"/>
    <w:rsid w:val="00DA4251"/>
    <w:rsid w:val="00DA6FCB"/>
    <w:rsid w:val="00DA7DBF"/>
    <w:rsid w:val="00DB1A66"/>
    <w:rsid w:val="00DB1EED"/>
    <w:rsid w:val="00DB2AE0"/>
    <w:rsid w:val="00DB331A"/>
    <w:rsid w:val="00DB542A"/>
    <w:rsid w:val="00DB5B7A"/>
    <w:rsid w:val="00DB6303"/>
    <w:rsid w:val="00DB63AF"/>
    <w:rsid w:val="00DB75B7"/>
    <w:rsid w:val="00DC0E18"/>
    <w:rsid w:val="00DC2209"/>
    <w:rsid w:val="00DC300B"/>
    <w:rsid w:val="00DC30EF"/>
    <w:rsid w:val="00DC327D"/>
    <w:rsid w:val="00DC5633"/>
    <w:rsid w:val="00DD01F4"/>
    <w:rsid w:val="00DD05EC"/>
    <w:rsid w:val="00DD329D"/>
    <w:rsid w:val="00DD4C2A"/>
    <w:rsid w:val="00DD560F"/>
    <w:rsid w:val="00DD5B7B"/>
    <w:rsid w:val="00DD737A"/>
    <w:rsid w:val="00DD7D21"/>
    <w:rsid w:val="00DE18E0"/>
    <w:rsid w:val="00DE1A5C"/>
    <w:rsid w:val="00DE2104"/>
    <w:rsid w:val="00DE37C8"/>
    <w:rsid w:val="00DE4A90"/>
    <w:rsid w:val="00DE4E89"/>
    <w:rsid w:val="00DE4FDC"/>
    <w:rsid w:val="00DE5189"/>
    <w:rsid w:val="00DE6098"/>
    <w:rsid w:val="00DE7821"/>
    <w:rsid w:val="00DF0132"/>
    <w:rsid w:val="00DF06CC"/>
    <w:rsid w:val="00DF087E"/>
    <w:rsid w:val="00DF10B3"/>
    <w:rsid w:val="00DF11A5"/>
    <w:rsid w:val="00DF1A0E"/>
    <w:rsid w:val="00DF21A4"/>
    <w:rsid w:val="00DF2641"/>
    <w:rsid w:val="00DF36D6"/>
    <w:rsid w:val="00DF3AF5"/>
    <w:rsid w:val="00DF468E"/>
    <w:rsid w:val="00DF494B"/>
    <w:rsid w:val="00DF4A64"/>
    <w:rsid w:val="00DF4F86"/>
    <w:rsid w:val="00DF57EC"/>
    <w:rsid w:val="00DF5A56"/>
    <w:rsid w:val="00DF5B4D"/>
    <w:rsid w:val="00DF7719"/>
    <w:rsid w:val="00E0005B"/>
    <w:rsid w:val="00E004F2"/>
    <w:rsid w:val="00E011DD"/>
    <w:rsid w:val="00E01555"/>
    <w:rsid w:val="00E02F4E"/>
    <w:rsid w:val="00E03C0B"/>
    <w:rsid w:val="00E03F2F"/>
    <w:rsid w:val="00E0439E"/>
    <w:rsid w:val="00E07162"/>
    <w:rsid w:val="00E07318"/>
    <w:rsid w:val="00E0793E"/>
    <w:rsid w:val="00E12256"/>
    <w:rsid w:val="00E1280D"/>
    <w:rsid w:val="00E133DF"/>
    <w:rsid w:val="00E13C5F"/>
    <w:rsid w:val="00E152AA"/>
    <w:rsid w:val="00E1637C"/>
    <w:rsid w:val="00E17011"/>
    <w:rsid w:val="00E17653"/>
    <w:rsid w:val="00E17760"/>
    <w:rsid w:val="00E1785F"/>
    <w:rsid w:val="00E17923"/>
    <w:rsid w:val="00E17C3C"/>
    <w:rsid w:val="00E21304"/>
    <w:rsid w:val="00E214D0"/>
    <w:rsid w:val="00E21586"/>
    <w:rsid w:val="00E222D5"/>
    <w:rsid w:val="00E23337"/>
    <w:rsid w:val="00E23A3D"/>
    <w:rsid w:val="00E24134"/>
    <w:rsid w:val="00E259A2"/>
    <w:rsid w:val="00E25BBE"/>
    <w:rsid w:val="00E25C7D"/>
    <w:rsid w:val="00E27A37"/>
    <w:rsid w:val="00E331DF"/>
    <w:rsid w:val="00E337B1"/>
    <w:rsid w:val="00E34642"/>
    <w:rsid w:val="00E4052D"/>
    <w:rsid w:val="00E41DAE"/>
    <w:rsid w:val="00E449D7"/>
    <w:rsid w:val="00E44CAE"/>
    <w:rsid w:val="00E45B05"/>
    <w:rsid w:val="00E465CF"/>
    <w:rsid w:val="00E466F4"/>
    <w:rsid w:val="00E46B40"/>
    <w:rsid w:val="00E47525"/>
    <w:rsid w:val="00E527DB"/>
    <w:rsid w:val="00E54089"/>
    <w:rsid w:val="00E55083"/>
    <w:rsid w:val="00E554F6"/>
    <w:rsid w:val="00E55A32"/>
    <w:rsid w:val="00E56E06"/>
    <w:rsid w:val="00E57130"/>
    <w:rsid w:val="00E60060"/>
    <w:rsid w:val="00E60569"/>
    <w:rsid w:val="00E608AE"/>
    <w:rsid w:val="00E61120"/>
    <w:rsid w:val="00E6145A"/>
    <w:rsid w:val="00E618A1"/>
    <w:rsid w:val="00E6209C"/>
    <w:rsid w:val="00E624E4"/>
    <w:rsid w:val="00E64D26"/>
    <w:rsid w:val="00E65008"/>
    <w:rsid w:val="00E66D05"/>
    <w:rsid w:val="00E67EF9"/>
    <w:rsid w:val="00E709C2"/>
    <w:rsid w:val="00E70F0F"/>
    <w:rsid w:val="00E71082"/>
    <w:rsid w:val="00E71BF2"/>
    <w:rsid w:val="00E7238F"/>
    <w:rsid w:val="00E737A5"/>
    <w:rsid w:val="00E739DA"/>
    <w:rsid w:val="00E743CC"/>
    <w:rsid w:val="00E75AB6"/>
    <w:rsid w:val="00E7603A"/>
    <w:rsid w:val="00E768CF"/>
    <w:rsid w:val="00E76C2A"/>
    <w:rsid w:val="00E76E93"/>
    <w:rsid w:val="00E770D0"/>
    <w:rsid w:val="00E823F1"/>
    <w:rsid w:val="00E823FE"/>
    <w:rsid w:val="00E8346B"/>
    <w:rsid w:val="00E850A0"/>
    <w:rsid w:val="00E8571D"/>
    <w:rsid w:val="00E85CD6"/>
    <w:rsid w:val="00E87207"/>
    <w:rsid w:val="00E879D4"/>
    <w:rsid w:val="00E87E48"/>
    <w:rsid w:val="00E903D8"/>
    <w:rsid w:val="00E90FB5"/>
    <w:rsid w:val="00E91F93"/>
    <w:rsid w:val="00E92B47"/>
    <w:rsid w:val="00E93514"/>
    <w:rsid w:val="00E94CC9"/>
    <w:rsid w:val="00E955C5"/>
    <w:rsid w:val="00E96AC2"/>
    <w:rsid w:val="00E96E5C"/>
    <w:rsid w:val="00E96F68"/>
    <w:rsid w:val="00E97265"/>
    <w:rsid w:val="00E97D86"/>
    <w:rsid w:val="00EA070F"/>
    <w:rsid w:val="00EA108E"/>
    <w:rsid w:val="00EA390A"/>
    <w:rsid w:val="00EA3F94"/>
    <w:rsid w:val="00EA416E"/>
    <w:rsid w:val="00EA41CD"/>
    <w:rsid w:val="00EA438C"/>
    <w:rsid w:val="00EA6631"/>
    <w:rsid w:val="00EA672E"/>
    <w:rsid w:val="00EA6789"/>
    <w:rsid w:val="00EA6E60"/>
    <w:rsid w:val="00EA710E"/>
    <w:rsid w:val="00EA7456"/>
    <w:rsid w:val="00EA7EB1"/>
    <w:rsid w:val="00EA7F80"/>
    <w:rsid w:val="00EB0222"/>
    <w:rsid w:val="00EB26BC"/>
    <w:rsid w:val="00EB2E5B"/>
    <w:rsid w:val="00EB3170"/>
    <w:rsid w:val="00EB38B4"/>
    <w:rsid w:val="00EB4FFF"/>
    <w:rsid w:val="00EB5141"/>
    <w:rsid w:val="00EB5AB8"/>
    <w:rsid w:val="00EB5BAF"/>
    <w:rsid w:val="00EB702F"/>
    <w:rsid w:val="00EB7FC3"/>
    <w:rsid w:val="00EC1CBD"/>
    <w:rsid w:val="00EC2CE6"/>
    <w:rsid w:val="00EC3CD8"/>
    <w:rsid w:val="00EC4B25"/>
    <w:rsid w:val="00EC5A64"/>
    <w:rsid w:val="00ED0418"/>
    <w:rsid w:val="00ED1A52"/>
    <w:rsid w:val="00ED1CA8"/>
    <w:rsid w:val="00ED1DCB"/>
    <w:rsid w:val="00ED236C"/>
    <w:rsid w:val="00ED265E"/>
    <w:rsid w:val="00ED2A50"/>
    <w:rsid w:val="00ED5474"/>
    <w:rsid w:val="00ED6CE1"/>
    <w:rsid w:val="00ED7134"/>
    <w:rsid w:val="00EE089D"/>
    <w:rsid w:val="00EE1166"/>
    <w:rsid w:val="00EE1AD5"/>
    <w:rsid w:val="00EE1F41"/>
    <w:rsid w:val="00EE221B"/>
    <w:rsid w:val="00EE28B5"/>
    <w:rsid w:val="00EE28D6"/>
    <w:rsid w:val="00EE3716"/>
    <w:rsid w:val="00EE3C46"/>
    <w:rsid w:val="00EE4367"/>
    <w:rsid w:val="00EE6598"/>
    <w:rsid w:val="00EE6B01"/>
    <w:rsid w:val="00EE6D43"/>
    <w:rsid w:val="00EE7A46"/>
    <w:rsid w:val="00EF1BD4"/>
    <w:rsid w:val="00EF2341"/>
    <w:rsid w:val="00EF23EA"/>
    <w:rsid w:val="00EF2928"/>
    <w:rsid w:val="00EF359F"/>
    <w:rsid w:val="00EF3627"/>
    <w:rsid w:val="00EF49D7"/>
    <w:rsid w:val="00EF6D41"/>
    <w:rsid w:val="00F00DCF"/>
    <w:rsid w:val="00F013C3"/>
    <w:rsid w:val="00F04F9E"/>
    <w:rsid w:val="00F05B35"/>
    <w:rsid w:val="00F061BB"/>
    <w:rsid w:val="00F11963"/>
    <w:rsid w:val="00F12BB0"/>
    <w:rsid w:val="00F12C42"/>
    <w:rsid w:val="00F14082"/>
    <w:rsid w:val="00F15E2B"/>
    <w:rsid w:val="00F161F3"/>
    <w:rsid w:val="00F20912"/>
    <w:rsid w:val="00F21601"/>
    <w:rsid w:val="00F21996"/>
    <w:rsid w:val="00F22611"/>
    <w:rsid w:val="00F25A8C"/>
    <w:rsid w:val="00F26323"/>
    <w:rsid w:val="00F26BB5"/>
    <w:rsid w:val="00F30129"/>
    <w:rsid w:val="00F309CE"/>
    <w:rsid w:val="00F30D82"/>
    <w:rsid w:val="00F32A96"/>
    <w:rsid w:val="00F33262"/>
    <w:rsid w:val="00F36BAD"/>
    <w:rsid w:val="00F3745E"/>
    <w:rsid w:val="00F408DA"/>
    <w:rsid w:val="00F4197F"/>
    <w:rsid w:val="00F450DF"/>
    <w:rsid w:val="00F4574D"/>
    <w:rsid w:val="00F45DDA"/>
    <w:rsid w:val="00F46DF8"/>
    <w:rsid w:val="00F46E68"/>
    <w:rsid w:val="00F46F41"/>
    <w:rsid w:val="00F46F5A"/>
    <w:rsid w:val="00F475BC"/>
    <w:rsid w:val="00F47C08"/>
    <w:rsid w:val="00F506AB"/>
    <w:rsid w:val="00F50AA4"/>
    <w:rsid w:val="00F5128B"/>
    <w:rsid w:val="00F51B91"/>
    <w:rsid w:val="00F52F86"/>
    <w:rsid w:val="00F53031"/>
    <w:rsid w:val="00F53A2A"/>
    <w:rsid w:val="00F53E2D"/>
    <w:rsid w:val="00F54FB7"/>
    <w:rsid w:val="00F5602C"/>
    <w:rsid w:val="00F56516"/>
    <w:rsid w:val="00F575B9"/>
    <w:rsid w:val="00F60264"/>
    <w:rsid w:val="00F617A9"/>
    <w:rsid w:val="00F61CFD"/>
    <w:rsid w:val="00F6227E"/>
    <w:rsid w:val="00F64028"/>
    <w:rsid w:val="00F643A2"/>
    <w:rsid w:val="00F64CAA"/>
    <w:rsid w:val="00F675E8"/>
    <w:rsid w:val="00F67970"/>
    <w:rsid w:val="00F714AC"/>
    <w:rsid w:val="00F7297D"/>
    <w:rsid w:val="00F74023"/>
    <w:rsid w:val="00F744F0"/>
    <w:rsid w:val="00F75935"/>
    <w:rsid w:val="00F75F66"/>
    <w:rsid w:val="00F76E5E"/>
    <w:rsid w:val="00F80620"/>
    <w:rsid w:val="00F81CA3"/>
    <w:rsid w:val="00F829D5"/>
    <w:rsid w:val="00F8392D"/>
    <w:rsid w:val="00F83E02"/>
    <w:rsid w:val="00F849E0"/>
    <w:rsid w:val="00F85C1A"/>
    <w:rsid w:val="00F86C46"/>
    <w:rsid w:val="00F90551"/>
    <w:rsid w:val="00F915D7"/>
    <w:rsid w:val="00F9233F"/>
    <w:rsid w:val="00F9262F"/>
    <w:rsid w:val="00F92EED"/>
    <w:rsid w:val="00F93017"/>
    <w:rsid w:val="00F930C0"/>
    <w:rsid w:val="00F94940"/>
    <w:rsid w:val="00F94E90"/>
    <w:rsid w:val="00F95078"/>
    <w:rsid w:val="00F95265"/>
    <w:rsid w:val="00F95547"/>
    <w:rsid w:val="00F95E57"/>
    <w:rsid w:val="00F96650"/>
    <w:rsid w:val="00FA04A8"/>
    <w:rsid w:val="00FA1A69"/>
    <w:rsid w:val="00FA1B7A"/>
    <w:rsid w:val="00FA1DA4"/>
    <w:rsid w:val="00FA298B"/>
    <w:rsid w:val="00FA5803"/>
    <w:rsid w:val="00FA6782"/>
    <w:rsid w:val="00FA679D"/>
    <w:rsid w:val="00FA6FCD"/>
    <w:rsid w:val="00FA7F94"/>
    <w:rsid w:val="00FB0466"/>
    <w:rsid w:val="00FB0A52"/>
    <w:rsid w:val="00FB0F1C"/>
    <w:rsid w:val="00FB11B2"/>
    <w:rsid w:val="00FB1E65"/>
    <w:rsid w:val="00FB3088"/>
    <w:rsid w:val="00FB3C0D"/>
    <w:rsid w:val="00FB5240"/>
    <w:rsid w:val="00FB57FC"/>
    <w:rsid w:val="00FB6078"/>
    <w:rsid w:val="00FB6429"/>
    <w:rsid w:val="00FB689B"/>
    <w:rsid w:val="00FB74CC"/>
    <w:rsid w:val="00FB7836"/>
    <w:rsid w:val="00FB7B78"/>
    <w:rsid w:val="00FB7EB3"/>
    <w:rsid w:val="00FC06A3"/>
    <w:rsid w:val="00FC1EB3"/>
    <w:rsid w:val="00FC2825"/>
    <w:rsid w:val="00FC2DCB"/>
    <w:rsid w:val="00FC3A5F"/>
    <w:rsid w:val="00FC3DD8"/>
    <w:rsid w:val="00FC55DE"/>
    <w:rsid w:val="00FC7E6B"/>
    <w:rsid w:val="00FC7FF5"/>
    <w:rsid w:val="00FD1B50"/>
    <w:rsid w:val="00FD1CEA"/>
    <w:rsid w:val="00FD24ED"/>
    <w:rsid w:val="00FD4AA3"/>
    <w:rsid w:val="00FE12A0"/>
    <w:rsid w:val="00FE3769"/>
    <w:rsid w:val="00FE37D4"/>
    <w:rsid w:val="00FE429A"/>
    <w:rsid w:val="00FE4435"/>
    <w:rsid w:val="00FE4E2A"/>
    <w:rsid w:val="00FE4F9D"/>
    <w:rsid w:val="00FE65C6"/>
    <w:rsid w:val="00FE6668"/>
    <w:rsid w:val="00FE6E45"/>
    <w:rsid w:val="00FF1FF4"/>
    <w:rsid w:val="00FF295D"/>
    <w:rsid w:val="00FF2F9F"/>
    <w:rsid w:val="00FF3FB5"/>
    <w:rsid w:val="00FF448D"/>
    <w:rsid w:val="00FF4E67"/>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724CD-C795-4B29-AC8C-09725E0E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9CE"/>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link w:val="Heading3Char"/>
    <w:uiPriority w:val="9"/>
    <w:qFormat/>
    <w:rsid w:val="00007DD9"/>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Heading3Char">
    <w:name w:val="Heading 3 Char"/>
    <w:basedOn w:val="DefaultParagraphFont"/>
    <w:link w:val="Heading3"/>
    <w:uiPriority w:val="9"/>
    <w:rsid w:val="00007DD9"/>
    <w:rPr>
      <w:rFonts w:ascii="Times New Roman" w:eastAsia="Times New Roman" w:hAnsi="Times New Roman" w:cs="Times New Roman"/>
      <w:b/>
      <w:bCs/>
      <w:sz w:val="27"/>
      <w:szCs w:val="27"/>
      <w:lang w:eastAsia="en-AU"/>
    </w:rPr>
  </w:style>
  <w:style w:type="character" w:customStyle="1" w:styleId="valueupii">
    <w:name w:val="value_upii"/>
    <w:basedOn w:val="DefaultParagraphFont"/>
    <w:rsid w:val="00007DD9"/>
  </w:style>
  <w:style w:type="character" w:customStyle="1" w:styleId="apple-converted-space">
    <w:name w:val="apple-converted-space"/>
    <w:basedOn w:val="DefaultParagraphFont"/>
    <w:rsid w:val="00007DD9"/>
  </w:style>
  <w:style w:type="character" w:customStyle="1" w:styleId="valuedownii">
    <w:name w:val="value_downii"/>
    <w:basedOn w:val="DefaultParagraphFont"/>
    <w:rsid w:val="00007DD9"/>
  </w:style>
  <w:style w:type="paragraph" w:styleId="NormalWeb">
    <w:name w:val="Normal (Web)"/>
    <w:basedOn w:val="Normal"/>
    <w:uiPriority w:val="99"/>
    <w:semiHidden/>
    <w:unhideWhenUsed/>
    <w:rsid w:val="008B607F"/>
    <w:pPr>
      <w:spacing w:before="100" w:beforeAutospacing="1" w:after="100" w:afterAutospacing="1"/>
    </w:pPr>
    <w:rPr>
      <w:sz w:val="24"/>
      <w:szCs w:val="24"/>
      <w:lang w:val="en-AU" w:eastAsia="en-AU"/>
    </w:rPr>
  </w:style>
  <w:style w:type="character" w:styleId="Strong">
    <w:name w:val="Strong"/>
    <w:basedOn w:val="DefaultParagraphFont"/>
    <w:uiPriority w:val="22"/>
    <w:qFormat/>
    <w:rsid w:val="008B6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50083017">
      <w:bodyDiv w:val="1"/>
      <w:marLeft w:val="0"/>
      <w:marRight w:val="0"/>
      <w:marTop w:val="0"/>
      <w:marBottom w:val="0"/>
      <w:divBdr>
        <w:top w:val="none" w:sz="0" w:space="0" w:color="auto"/>
        <w:left w:val="none" w:sz="0" w:space="0" w:color="auto"/>
        <w:bottom w:val="none" w:sz="0" w:space="0" w:color="auto"/>
        <w:right w:val="none" w:sz="0" w:space="0" w:color="auto"/>
      </w:divBdr>
    </w:div>
    <w:div w:id="53085041">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14333676">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58968908">
      <w:bodyDiv w:val="1"/>
      <w:marLeft w:val="0"/>
      <w:marRight w:val="0"/>
      <w:marTop w:val="0"/>
      <w:marBottom w:val="0"/>
      <w:divBdr>
        <w:top w:val="none" w:sz="0" w:space="0" w:color="auto"/>
        <w:left w:val="none" w:sz="0" w:space="0" w:color="auto"/>
        <w:bottom w:val="none" w:sz="0" w:space="0" w:color="auto"/>
        <w:right w:val="none" w:sz="0" w:space="0" w:color="auto"/>
      </w:divBdr>
    </w:div>
    <w:div w:id="360060280">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168311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28893913">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33482434">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692611783">
      <w:bodyDiv w:val="1"/>
      <w:marLeft w:val="0"/>
      <w:marRight w:val="0"/>
      <w:marTop w:val="0"/>
      <w:marBottom w:val="0"/>
      <w:divBdr>
        <w:top w:val="none" w:sz="0" w:space="0" w:color="auto"/>
        <w:left w:val="none" w:sz="0" w:space="0" w:color="auto"/>
        <w:bottom w:val="none" w:sz="0" w:space="0" w:color="auto"/>
        <w:right w:val="none" w:sz="0" w:space="0" w:color="auto"/>
      </w:divBdr>
    </w:div>
    <w:div w:id="698434046">
      <w:bodyDiv w:val="1"/>
      <w:marLeft w:val="0"/>
      <w:marRight w:val="0"/>
      <w:marTop w:val="0"/>
      <w:marBottom w:val="0"/>
      <w:divBdr>
        <w:top w:val="none" w:sz="0" w:space="0" w:color="auto"/>
        <w:left w:val="none" w:sz="0" w:space="0" w:color="auto"/>
        <w:bottom w:val="none" w:sz="0" w:space="0" w:color="auto"/>
        <w:right w:val="none" w:sz="0" w:space="0" w:color="auto"/>
      </w:divBdr>
      <w:divsChild>
        <w:div w:id="1555241480">
          <w:marLeft w:val="0"/>
          <w:marRight w:val="0"/>
          <w:marTop w:val="0"/>
          <w:marBottom w:val="0"/>
          <w:divBdr>
            <w:top w:val="none" w:sz="0" w:space="0" w:color="auto"/>
            <w:left w:val="none" w:sz="0" w:space="0" w:color="auto"/>
            <w:bottom w:val="none" w:sz="0" w:space="0" w:color="auto"/>
            <w:right w:val="none" w:sz="0" w:space="0" w:color="auto"/>
          </w:divBdr>
        </w:div>
      </w:divsChild>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61560844">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03158847">
      <w:bodyDiv w:val="1"/>
      <w:marLeft w:val="0"/>
      <w:marRight w:val="0"/>
      <w:marTop w:val="0"/>
      <w:marBottom w:val="0"/>
      <w:divBdr>
        <w:top w:val="none" w:sz="0" w:space="0" w:color="auto"/>
        <w:left w:val="none" w:sz="0" w:space="0" w:color="auto"/>
        <w:bottom w:val="none" w:sz="0" w:space="0" w:color="auto"/>
        <w:right w:val="none" w:sz="0" w:space="0" w:color="auto"/>
      </w:divBdr>
    </w:div>
    <w:div w:id="806779703">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66405168">
      <w:bodyDiv w:val="1"/>
      <w:marLeft w:val="0"/>
      <w:marRight w:val="0"/>
      <w:marTop w:val="0"/>
      <w:marBottom w:val="0"/>
      <w:divBdr>
        <w:top w:val="none" w:sz="0" w:space="0" w:color="auto"/>
        <w:left w:val="none" w:sz="0" w:space="0" w:color="auto"/>
        <w:bottom w:val="none" w:sz="0" w:space="0" w:color="auto"/>
        <w:right w:val="none" w:sz="0" w:space="0" w:color="auto"/>
      </w:divBdr>
    </w:div>
    <w:div w:id="869807459">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20600587">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998272592">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28165232">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282804481">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22345617">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08328729">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5768118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712342964">
      <w:bodyDiv w:val="1"/>
      <w:marLeft w:val="0"/>
      <w:marRight w:val="0"/>
      <w:marTop w:val="0"/>
      <w:marBottom w:val="0"/>
      <w:divBdr>
        <w:top w:val="none" w:sz="0" w:space="0" w:color="auto"/>
        <w:left w:val="none" w:sz="0" w:space="0" w:color="auto"/>
        <w:bottom w:val="none" w:sz="0" w:space="0" w:color="auto"/>
        <w:right w:val="none" w:sz="0" w:space="0" w:color="auto"/>
      </w:divBdr>
    </w:div>
    <w:div w:id="1761023339">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19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F4B28-0BE5-4BE8-A8F2-C275A3F5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2471</TotalTime>
  <Pages>7</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cp:lastModifiedBy>
  <cp:revision>132</cp:revision>
  <cp:lastPrinted>2016-02-21T03:04:00Z</cp:lastPrinted>
  <dcterms:created xsi:type="dcterms:W3CDTF">2014-02-28T10:19:00Z</dcterms:created>
  <dcterms:modified xsi:type="dcterms:W3CDTF">2017-07-19T10:33:00Z</dcterms:modified>
</cp:coreProperties>
</file>