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FF" w:rsidRPr="004777D9" w:rsidRDefault="00C02DFF" w:rsidP="00C02DF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Why </w:t>
      </w:r>
      <w:r w:rsidRPr="004A787D">
        <w:rPr>
          <w:rFonts w:asciiTheme="majorHAnsi" w:hAnsiTheme="majorHAnsi"/>
          <w:b/>
          <w:i/>
          <w:color w:val="800000"/>
          <w:sz w:val="72"/>
          <w:szCs w:val="72"/>
        </w:rPr>
        <w:t xml:space="preserve">ΔNOWC 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is subtracted from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FFCF</w:t>
      </w:r>
    </w:p>
    <w:p w:rsidR="006D0CFF" w:rsidRPr="006D0CFF" w:rsidRDefault="006D0CFF" w:rsidP="00C02DF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color w:val="003366"/>
          <w:sz w:val="52"/>
          <w:szCs w:val="52"/>
        </w:rPr>
        <w:t>T</w:t>
      </w:r>
      <w:r w:rsidRPr="006D0CFF">
        <w:rPr>
          <w:rFonts w:asciiTheme="majorHAnsi" w:hAnsiTheme="majorHAnsi"/>
          <w:color w:val="003366"/>
          <w:sz w:val="52"/>
          <w:szCs w:val="52"/>
        </w:rPr>
        <w:t xml:space="preserve">hink of ΔNOWC as </w:t>
      </w:r>
      <w:proofErr w:type="spellStart"/>
      <w:r w:rsidRPr="006D0CFF">
        <w:rPr>
          <w:rFonts w:asciiTheme="majorHAnsi" w:hAnsiTheme="majorHAnsi"/>
          <w:color w:val="003366"/>
          <w:sz w:val="52"/>
          <w:szCs w:val="52"/>
        </w:rPr>
        <w:t>CapEx</w:t>
      </w:r>
      <w:proofErr w:type="spellEnd"/>
      <w:r w:rsidRPr="006D0CFF">
        <w:rPr>
          <w:rFonts w:asciiTheme="majorHAnsi" w:hAnsiTheme="majorHAnsi"/>
          <w:color w:val="003366"/>
          <w:sz w:val="52"/>
          <w:szCs w:val="52"/>
        </w:rPr>
        <w:t xml:space="preserve"> on short term assets rather than long term assets. </w:t>
      </w:r>
    </w:p>
    <w:p w:rsidR="00C02DFF" w:rsidRPr="006D0CFF" w:rsidRDefault="00C02DFF" w:rsidP="00C02DF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color w:val="003366"/>
          <w:sz w:val="52"/>
          <w:szCs w:val="52"/>
        </w:rPr>
        <w:t xml:space="preserve">A positive ΔNOWC occurs when NOWC </w:t>
      </w:r>
      <w:r w:rsidRPr="006D0CFF">
        <w:rPr>
          <w:rFonts w:asciiTheme="majorHAnsi" w:hAnsiTheme="majorHAnsi"/>
          <w:b/>
          <w:color w:val="003366"/>
          <w:sz w:val="52"/>
          <w:szCs w:val="52"/>
        </w:rPr>
        <w:t>in</w:t>
      </w:r>
      <w:r w:rsidRPr="006D0CFF">
        <w:rPr>
          <w:rFonts w:asciiTheme="majorHAnsi" w:hAnsiTheme="majorHAnsi"/>
          <w:color w:val="003366"/>
          <w:sz w:val="52"/>
          <w:szCs w:val="52"/>
        </w:rPr>
        <w:t xml:space="preserve">creases, due to an: </w:t>
      </w:r>
    </w:p>
    <w:p w:rsidR="00C02DFF" w:rsidRPr="006D0CFF" w:rsidRDefault="00C02DFF" w:rsidP="00C02DFF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b/>
          <w:color w:val="003366"/>
          <w:sz w:val="52"/>
          <w:szCs w:val="52"/>
        </w:rPr>
        <w:t>In</w:t>
      </w:r>
      <w:r w:rsidRPr="006D0CFF">
        <w:rPr>
          <w:rFonts w:asciiTheme="majorHAnsi" w:hAnsiTheme="majorHAnsi"/>
          <w:color w:val="003366"/>
          <w:sz w:val="52"/>
          <w:szCs w:val="52"/>
        </w:rPr>
        <w:t>crease in inventory;</w:t>
      </w:r>
    </w:p>
    <w:p w:rsidR="00C02DFF" w:rsidRPr="006D0CFF" w:rsidRDefault="00C02DFF" w:rsidP="00C02DFF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b/>
          <w:color w:val="003366"/>
          <w:sz w:val="52"/>
          <w:szCs w:val="52"/>
        </w:rPr>
        <w:t>In</w:t>
      </w:r>
      <w:r w:rsidRPr="006D0CFF">
        <w:rPr>
          <w:rFonts w:asciiTheme="majorHAnsi" w:hAnsiTheme="majorHAnsi"/>
          <w:color w:val="003366"/>
          <w:sz w:val="52"/>
          <w:szCs w:val="52"/>
        </w:rPr>
        <w:t>crease in accounts receivable so we’re lending more to our customers</w:t>
      </w:r>
      <w:r w:rsidR="003A5740">
        <w:rPr>
          <w:rFonts w:asciiTheme="majorHAnsi" w:hAnsiTheme="majorHAnsi"/>
          <w:color w:val="003366"/>
          <w:sz w:val="52"/>
          <w:szCs w:val="52"/>
        </w:rPr>
        <w:t xml:space="preserve"> (investing in their debt)</w:t>
      </w:r>
      <w:r w:rsidRPr="006D0CFF">
        <w:rPr>
          <w:rFonts w:asciiTheme="majorHAnsi" w:hAnsiTheme="majorHAnsi"/>
          <w:color w:val="003366"/>
          <w:sz w:val="52"/>
          <w:szCs w:val="52"/>
        </w:rPr>
        <w:t xml:space="preserve">; or </w:t>
      </w:r>
    </w:p>
    <w:p w:rsidR="00C02DFF" w:rsidRPr="006D0CFF" w:rsidRDefault="00C02DFF" w:rsidP="00C02DFF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b/>
          <w:color w:val="003366"/>
          <w:sz w:val="52"/>
          <w:szCs w:val="52"/>
        </w:rPr>
        <w:t>De</w:t>
      </w:r>
      <w:r w:rsidRPr="006D0CFF">
        <w:rPr>
          <w:rFonts w:asciiTheme="majorHAnsi" w:hAnsiTheme="majorHAnsi"/>
          <w:color w:val="003366"/>
          <w:sz w:val="52"/>
          <w:szCs w:val="52"/>
        </w:rPr>
        <w:t>crease in accounts payable so we’re borrowing less from our suppliers</w:t>
      </w:r>
      <w:r w:rsidR="003A5740">
        <w:rPr>
          <w:rFonts w:asciiTheme="majorHAnsi" w:hAnsiTheme="majorHAnsi"/>
          <w:color w:val="003366"/>
          <w:sz w:val="52"/>
          <w:szCs w:val="52"/>
        </w:rPr>
        <w:t xml:space="preserve"> (reducing our </w:t>
      </w:r>
      <w:bookmarkStart w:id="0" w:name="_GoBack"/>
      <w:bookmarkEnd w:id="0"/>
      <w:r w:rsidR="003A5740">
        <w:rPr>
          <w:rFonts w:asciiTheme="majorHAnsi" w:hAnsiTheme="majorHAnsi"/>
          <w:color w:val="003366"/>
          <w:sz w:val="52"/>
          <w:szCs w:val="52"/>
        </w:rPr>
        <w:t xml:space="preserve">debt liabilities which is equivalent to </w:t>
      </w:r>
      <w:r w:rsidR="003A5740">
        <w:rPr>
          <w:rFonts w:asciiTheme="majorHAnsi" w:hAnsiTheme="majorHAnsi"/>
          <w:color w:val="003366"/>
          <w:sz w:val="52"/>
          <w:szCs w:val="52"/>
        </w:rPr>
        <w:t>investing in our own debt</w:t>
      </w:r>
      <w:r w:rsidR="003A5740">
        <w:rPr>
          <w:rFonts w:asciiTheme="majorHAnsi" w:hAnsiTheme="majorHAnsi"/>
          <w:color w:val="003366"/>
          <w:sz w:val="52"/>
          <w:szCs w:val="52"/>
        </w:rPr>
        <w:t>)</w:t>
      </w:r>
      <w:r w:rsidRPr="006D0CFF">
        <w:rPr>
          <w:rFonts w:asciiTheme="majorHAnsi" w:hAnsiTheme="majorHAnsi"/>
          <w:color w:val="003366"/>
          <w:sz w:val="52"/>
          <w:szCs w:val="52"/>
        </w:rPr>
        <w:t>.</w:t>
      </w:r>
    </w:p>
    <w:p w:rsidR="00C02DFF" w:rsidRPr="006D0CFF" w:rsidRDefault="00C02DFF" w:rsidP="00C02DF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color w:val="003366"/>
          <w:sz w:val="52"/>
          <w:szCs w:val="52"/>
        </w:rPr>
        <w:t xml:space="preserve">These ΔNOWC are not expensed by accountants in net income (NI), but they all require more cash from investors. </w:t>
      </w:r>
    </w:p>
    <w:p w:rsidR="00C02DFF" w:rsidRPr="006D0CFF" w:rsidRDefault="00C02DFF" w:rsidP="00C02DF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0CFF">
        <w:rPr>
          <w:rFonts w:asciiTheme="majorHAnsi" w:hAnsiTheme="majorHAnsi"/>
          <w:color w:val="003366"/>
          <w:sz w:val="52"/>
          <w:szCs w:val="52"/>
        </w:rPr>
        <w:lastRenderedPageBreak/>
        <w:t xml:space="preserve">Because NOWC requires funding, it has an </w:t>
      </w:r>
      <w:r w:rsidRPr="006D0CFF">
        <w:rPr>
          <w:rFonts w:asciiTheme="majorHAnsi" w:hAnsiTheme="majorHAnsi"/>
          <w:b/>
          <w:color w:val="003366"/>
          <w:sz w:val="52"/>
          <w:szCs w:val="52"/>
        </w:rPr>
        <w:t>opportunity cost</w:t>
      </w:r>
      <w:r w:rsidRPr="006D0CFF">
        <w:rPr>
          <w:rFonts w:asciiTheme="majorHAnsi" w:hAnsiTheme="majorHAnsi"/>
          <w:color w:val="003366"/>
          <w:sz w:val="52"/>
          <w:szCs w:val="52"/>
        </w:rPr>
        <w:t xml:space="preserve"> (the WACC) that needs to be included. </w:t>
      </w:r>
    </w:p>
    <w:p w:rsidR="00C02DFF" w:rsidRPr="006D0CFF" w:rsidRDefault="00C02DF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D0CFF">
        <w:rPr>
          <w:rFonts w:asciiTheme="majorHAnsi" w:hAnsiTheme="majorHAnsi"/>
          <w:color w:val="003366"/>
          <w:sz w:val="52"/>
          <w:szCs w:val="52"/>
        </w:rPr>
        <w:t>Therefore ΔNOWC needs to be subtracted since it is a cash flow not included in Net Income (NI).</w:t>
      </w:r>
      <w:r w:rsidRPr="00F764E0">
        <w:rPr>
          <w:rFonts w:asciiTheme="majorHAnsi" w:hAnsiTheme="majorHAnsi"/>
          <w:color w:val="003366"/>
          <w:sz w:val="48"/>
          <w:szCs w:val="48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B86D11" w:rsidRPr="004777D9" w:rsidRDefault="00AE7664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The </w:t>
      </w:r>
      <w:r w:rsidR="00123516">
        <w:rPr>
          <w:rFonts w:asciiTheme="majorHAnsi" w:hAnsiTheme="majorHAnsi"/>
          <w:b/>
          <w:i/>
          <w:color w:val="800000"/>
          <w:sz w:val="72"/>
          <w:szCs w:val="72"/>
        </w:rPr>
        <w:t>Delta or Increase in</w:t>
      </w:r>
      <w:r w:rsidR="00B86D11"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Net </w:t>
      </w:r>
      <w:r w:rsidR="00B86D11">
        <w:rPr>
          <w:rFonts w:asciiTheme="majorHAnsi" w:hAnsiTheme="majorHAnsi"/>
          <w:b/>
          <w:i/>
          <w:color w:val="800000"/>
          <w:sz w:val="72"/>
          <w:szCs w:val="72"/>
        </w:rPr>
        <w:t xml:space="preserve">Operating </w:t>
      </w:r>
      <w:r w:rsidR="00B86D11" w:rsidRPr="004777D9">
        <w:rPr>
          <w:rFonts w:asciiTheme="majorHAnsi" w:hAnsiTheme="majorHAnsi"/>
          <w:b/>
          <w:i/>
          <w:color w:val="800000"/>
          <w:sz w:val="72"/>
          <w:szCs w:val="72"/>
        </w:rPr>
        <w:t>Working Capital (</w:t>
      </w:r>
      <w:r w:rsidR="00B86D11">
        <w:rPr>
          <w:rFonts w:asciiTheme="majorHAnsi" w:hAnsiTheme="majorHAnsi"/>
          <w:b/>
          <w:i/>
          <w:color w:val="800000"/>
          <w:sz w:val="72"/>
          <w:szCs w:val="72"/>
        </w:rPr>
        <w:t>Δ</w:t>
      </w:r>
      <w:r w:rsidR="00B86D11" w:rsidRPr="004777D9">
        <w:rPr>
          <w:rFonts w:asciiTheme="majorHAnsi" w:hAnsiTheme="majorHAnsi"/>
          <w:b/>
          <w:i/>
          <w:color w:val="800000"/>
          <w:sz w:val="72"/>
          <w:szCs w:val="72"/>
        </w:rPr>
        <w:t>N</w:t>
      </w:r>
      <w:r w:rsidR="00B86D11">
        <w:rPr>
          <w:rFonts w:asciiTheme="majorHAnsi" w:hAnsiTheme="majorHAnsi"/>
          <w:b/>
          <w:i/>
          <w:color w:val="800000"/>
          <w:sz w:val="72"/>
          <w:szCs w:val="72"/>
        </w:rPr>
        <w:t>O</w:t>
      </w:r>
      <w:r w:rsidR="00B86D11" w:rsidRPr="004777D9">
        <w:rPr>
          <w:rFonts w:asciiTheme="majorHAnsi" w:hAnsiTheme="majorHAnsi"/>
          <w:b/>
          <w:i/>
          <w:color w:val="800000"/>
          <w:sz w:val="72"/>
          <w:szCs w:val="72"/>
        </w:rPr>
        <w:t>WC)</w:t>
      </w:r>
    </w:p>
    <w:p w:rsidR="00B86D11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 xml:space="preserve">Change or </w:t>
      </w:r>
      <w:r w:rsidRPr="00EE0599">
        <w:rPr>
          <w:rFonts w:asciiTheme="majorHAnsi" w:hAnsiTheme="majorHAnsi"/>
          <w:b/>
          <w:color w:val="003366"/>
          <w:sz w:val="52"/>
          <w:szCs w:val="52"/>
        </w:rPr>
        <w:t>Increase</w:t>
      </w:r>
      <w:r>
        <w:rPr>
          <w:rFonts w:asciiTheme="majorHAnsi" w:hAnsiTheme="majorHAnsi"/>
          <w:color w:val="003366"/>
          <w:sz w:val="52"/>
          <w:szCs w:val="52"/>
        </w:rPr>
        <w:t xml:space="preserve"> in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Net </w:t>
      </w:r>
      <w:r>
        <w:rPr>
          <w:rFonts w:asciiTheme="majorHAnsi" w:hAnsiTheme="majorHAnsi"/>
          <w:color w:val="003366"/>
          <w:sz w:val="52"/>
          <w:szCs w:val="52"/>
        </w:rPr>
        <w:t xml:space="preserve">Operating </w:t>
      </w:r>
      <w:r w:rsidRPr="004777D9">
        <w:rPr>
          <w:rFonts w:asciiTheme="majorHAnsi" w:hAnsiTheme="majorHAnsi"/>
          <w:color w:val="003366"/>
          <w:sz w:val="52"/>
          <w:szCs w:val="52"/>
        </w:rPr>
        <w:t>Working Capital (</w:t>
      </w:r>
      <m:oMath>
        <m:r>
          <w:rPr>
            <w:rFonts w:ascii="Cambria Math" w:hAnsi="Cambria Math"/>
            <w:color w:val="003366"/>
            <w:sz w:val="52"/>
            <w:szCs w:val="52"/>
          </w:rPr>
          <m:t>ΔNOWC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) </w:t>
      </w:r>
      <w:r w:rsidRPr="00475DDF">
        <w:rPr>
          <w:rFonts w:asciiTheme="majorHAnsi" w:hAnsiTheme="majorHAnsi"/>
          <w:color w:val="003366"/>
          <w:sz w:val="50"/>
          <w:szCs w:val="50"/>
        </w:rPr>
        <w:t>is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B86D11" w:rsidRPr="0033531C" w:rsidRDefault="00B86D11" w:rsidP="00F9160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ΔNOWC=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        NOWC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now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-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NOWC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before</m:t>
              </m:r>
            </m:sub>
          </m:sSub>
        </m:oMath>
      </m:oMathPara>
    </w:p>
    <w:p w:rsidR="008F5683" w:rsidRPr="00C47784" w:rsidRDefault="008F5683" w:rsidP="008F5683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ΔNOWC=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CA-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ΔExcessCash</m:t>
          </m:r>
          <m:r>
            <w:rPr>
              <w:rFonts w:ascii="Cambria Math" w:hAnsi="Cambria Math"/>
              <w:color w:val="003366"/>
              <w:sz w:val="50"/>
              <w:szCs w:val="50"/>
            </w:rPr>
            <m:t>-(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CL-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InterestBearingCL)</m:t>
          </m:r>
        </m:oMath>
      </m:oMathPara>
    </w:p>
    <w:p w:rsidR="00FB7868" w:rsidRDefault="00FB7868" w:rsidP="00FB786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N</w:t>
      </w:r>
      <w:r>
        <w:rPr>
          <w:rFonts w:asciiTheme="majorHAnsi" w:hAnsiTheme="majorHAnsi"/>
          <w:color w:val="003366"/>
          <w:sz w:val="52"/>
          <w:szCs w:val="52"/>
        </w:rPr>
        <w:t xml:space="preserve">et </w:t>
      </w:r>
      <w:r w:rsidRPr="004C36CA">
        <w:rPr>
          <w:rFonts w:asciiTheme="majorHAnsi" w:hAnsiTheme="majorHAnsi"/>
          <w:b/>
          <w:color w:val="003366"/>
          <w:sz w:val="52"/>
          <w:szCs w:val="52"/>
        </w:rPr>
        <w:t>Operating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4777D9">
        <w:rPr>
          <w:rFonts w:asciiTheme="majorHAnsi" w:hAnsiTheme="majorHAnsi"/>
          <w:color w:val="003366"/>
          <w:sz w:val="52"/>
          <w:szCs w:val="52"/>
        </w:rPr>
        <w:t>W</w:t>
      </w:r>
      <w:r>
        <w:rPr>
          <w:rFonts w:asciiTheme="majorHAnsi" w:hAnsiTheme="majorHAnsi"/>
          <w:color w:val="003366"/>
          <w:sz w:val="52"/>
          <w:szCs w:val="52"/>
        </w:rPr>
        <w:t xml:space="preserve">orking </w:t>
      </w:r>
      <w:r w:rsidRPr="004777D9">
        <w:rPr>
          <w:rFonts w:asciiTheme="majorHAnsi" w:hAnsiTheme="majorHAnsi"/>
          <w:color w:val="003366"/>
          <w:sz w:val="52"/>
          <w:szCs w:val="52"/>
        </w:rPr>
        <w:t>C</w:t>
      </w:r>
      <w:r>
        <w:rPr>
          <w:rFonts w:asciiTheme="majorHAnsi" w:hAnsiTheme="majorHAnsi"/>
          <w:color w:val="003366"/>
          <w:sz w:val="52"/>
          <w:szCs w:val="52"/>
        </w:rPr>
        <w:t>apital (N</w:t>
      </w:r>
      <w:r w:rsidRPr="004C36CA">
        <w:rPr>
          <w:rFonts w:asciiTheme="majorHAnsi" w:hAnsiTheme="majorHAnsi"/>
          <w:b/>
          <w:color w:val="003366"/>
          <w:sz w:val="52"/>
          <w:szCs w:val="52"/>
        </w:rPr>
        <w:t>O</w:t>
      </w:r>
      <w:r>
        <w:rPr>
          <w:rFonts w:asciiTheme="majorHAnsi" w:hAnsiTheme="majorHAnsi"/>
          <w:color w:val="003366"/>
          <w:sz w:val="52"/>
          <w:szCs w:val="52"/>
        </w:rPr>
        <w:t>WC)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is </w:t>
      </w:r>
      <w:r>
        <w:rPr>
          <w:rFonts w:asciiTheme="majorHAnsi" w:hAnsiTheme="majorHAnsi"/>
          <w:color w:val="003366"/>
          <w:sz w:val="52"/>
          <w:szCs w:val="52"/>
        </w:rPr>
        <w:t>defined slightly differently to normal accounting NWC:</w:t>
      </w:r>
    </w:p>
    <w:p w:rsidR="00FB7868" w:rsidRDefault="00FB7868" w:rsidP="00FB786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NWC=CA-CL</m:t>
          </m:r>
        </m:oMath>
      </m:oMathPara>
    </w:p>
    <w:p w:rsidR="00FB7868" w:rsidRDefault="00FB7868" w:rsidP="00FB786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O</m:t>
          </m:r>
          <m:r>
            <w:rPr>
              <w:rFonts w:ascii="Cambria Math" w:hAnsi="Cambria Math"/>
              <w:color w:val="003366"/>
              <w:sz w:val="52"/>
              <w:szCs w:val="52"/>
            </w:rPr>
            <m:t>WC=(CA-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ExcessCash)</m:t>
          </m:r>
          <m:r>
            <w:rPr>
              <w:rFonts w:ascii="Cambria Math" w:hAnsi="Cambria Math"/>
              <w:color w:val="003366"/>
              <w:sz w:val="52"/>
              <w:szCs w:val="52"/>
            </w:rPr>
            <m:t>-(CL-InterestBearingCL)</m:t>
          </m:r>
        </m:oMath>
      </m:oMathPara>
    </w:p>
    <w:p w:rsidR="00E30BF5" w:rsidRDefault="004C36CA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Remember to focus on the increase (</w:t>
      </w:r>
      <m:oMath>
        <m:r>
          <w:rPr>
            <w:rFonts w:ascii="Cambria Math" w:hAnsi="Cambria Math"/>
            <w:color w:val="003366"/>
            <w:sz w:val="52"/>
            <w:szCs w:val="52"/>
          </w:rPr>
          <m:t>Δ</m:t>
        </m:r>
      </m:oMath>
      <w:r w:rsidR="00FC046A">
        <w:rPr>
          <w:rFonts w:asciiTheme="majorHAnsi" w:hAnsiTheme="majorHAnsi"/>
          <w:color w:val="003366"/>
          <w:sz w:val="52"/>
          <w:szCs w:val="52"/>
        </w:rPr>
        <w:t>,</w:t>
      </w:r>
      <w:r>
        <w:rPr>
          <w:rFonts w:asciiTheme="majorHAnsi" w:hAnsiTheme="majorHAnsi"/>
          <w:color w:val="003366"/>
          <w:sz w:val="52"/>
          <w:szCs w:val="52"/>
        </w:rPr>
        <w:t xml:space="preserve"> Delta), not the level!</w:t>
      </w:r>
    </w:p>
    <w:p w:rsidR="00FB7868" w:rsidRDefault="00FB7868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Why </w:t>
      </w:r>
      <w:r w:rsidR="00F764E0">
        <w:rPr>
          <w:rFonts w:asciiTheme="majorHAnsi" w:hAnsiTheme="majorHAnsi"/>
          <w:b/>
          <w:i/>
          <w:color w:val="800000"/>
          <w:sz w:val="72"/>
          <w:szCs w:val="72"/>
        </w:rPr>
        <w:t xml:space="preserve">Subtract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Excess Cash from CA?</w:t>
      </w:r>
    </w:p>
    <w:p w:rsidR="008F5683" w:rsidRPr="008F5683" w:rsidRDefault="008F5683" w:rsidP="008F5683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ΔN</m:t>
          </m:r>
          <m:r>
            <m:rPr>
              <m:sty m:val="bi"/>
            </m:rPr>
            <w:rPr>
              <w:rFonts w:ascii="Cambria Math" w:hAnsi="Cambria Math"/>
              <w:color w:val="003366"/>
              <w:sz w:val="48"/>
              <w:szCs w:val="48"/>
            </w:rPr>
            <m:t>O</m:t>
          </m:r>
          <m:r>
            <w:rPr>
              <w:rFonts w:ascii="Cambria Math" w:hAnsi="Cambria Math"/>
              <w:color w:val="003366"/>
              <w:sz w:val="48"/>
              <w:szCs w:val="48"/>
            </w:rPr>
            <m:t>WC=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w:rPr>
              <w:rFonts w:ascii="Cambria Math" w:hAnsi="Cambria Math"/>
              <w:color w:val="003366"/>
              <w:sz w:val="48"/>
              <w:szCs w:val="48"/>
            </w:rPr>
            <m:t>CA-</m:t>
          </m:r>
          <m:r>
            <m:rPr>
              <m:sty m:val="b"/>
            </m:rPr>
            <w:rPr>
              <w:rFonts w:ascii="Cambria Math" w:hAnsi="Cambria Math"/>
              <w:color w:val="003366"/>
              <w:sz w:val="48"/>
              <w:szCs w:val="48"/>
            </w:rPr>
            <m:t>ΔExcessCash</m:t>
          </m:r>
          <m:r>
            <w:rPr>
              <w:rFonts w:ascii="Cambria Math" w:hAnsi="Cambria Math"/>
              <w:color w:val="003366"/>
              <w:sz w:val="48"/>
              <w:szCs w:val="48"/>
            </w:rPr>
            <m:t>-(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w:rPr>
              <w:rFonts w:ascii="Cambria Math" w:hAnsi="Cambria Math"/>
              <w:color w:val="003366"/>
              <w:sz w:val="48"/>
              <w:szCs w:val="48"/>
            </w:rPr>
            <m:t>CL-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w:rPr>
              <w:rFonts w:ascii="Cambria Math" w:hAnsi="Cambria Math"/>
              <w:color w:val="003366"/>
              <w:sz w:val="48"/>
              <w:szCs w:val="48"/>
            </w:rPr>
            <m:t>InterestBearingCL)</m:t>
          </m:r>
        </m:oMath>
      </m:oMathPara>
    </w:p>
    <w:p w:rsidR="002147B6" w:rsidRDefault="00FB7868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E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xcess cash and marketable securities </w:t>
      </w:r>
      <w:r>
        <w:rPr>
          <w:rFonts w:asciiTheme="majorHAnsi" w:hAnsiTheme="majorHAnsi"/>
          <w:color w:val="003366"/>
          <w:sz w:val="48"/>
          <w:szCs w:val="48"/>
        </w:rPr>
        <w:t xml:space="preserve">are excluded from Current Assets 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>since the</w:t>
      </w:r>
      <w:r>
        <w:rPr>
          <w:rFonts w:asciiTheme="majorHAnsi" w:hAnsiTheme="majorHAnsi"/>
          <w:color w:val="003366"/>
          <w:sz w:val="48"/>
          <w:szCs w:val="48"/>
        </w:rPr>
        <w:t>ir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>
        <w:rPr>
          <w:rFonts w:asciiTheme="majorHAnsi" w:hAnsiTheme="majorHAnsi"/>
          <w:color w:val="003366"/>
          <w:sz w:val="48"/>
          <w:szCs w:val="48"/>
        </w:rPr>
        <w:t xml:space="preserve">value is </w:t>
      </w:r>
      <w:r w:rsidR="00FC046A" w:rsidRPr="00FB7868">
        <w:rPr>
          <w:rFonts w:asciiTheme="majorHAnsi" w:hAnsiTheme="majorHAnsi"/>
          <w:color w:val="003366"/>
          <w:sz w:val="48"/>
          <w:szCs w:val="48"/>
        </w:rPr>
        <w:t>already</w:t>
      </w:r>
      <w:r w:rsidR="00FC046A">
        <w:rPr>
          <w:rFonts w:asciiTheme="majorHAnsi" w:hAnsiTheme="majorHAnsi"/>
          <w:color w:val="003366"/>
          <w:sz w:val="48"/>
          <w:szCs w:val="48"/>
        </w:rPr>
        <w:t xml:space="preserve"> </w:t>
      </w:r>
      <w:r>
        <w:rPr>
          <w:rFonts w:asciiTheme="majorHAnsi" w:hAnsiTheme="majorHAnsi"/>
          <w:color w:val="003366"/>
          <w:sz w:val="48"/>
          <w:szCs w:val="48"/>
        </w:rPr>
        <w:t>known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. </w:t>
      </w:r>
    </w:p>
    <w:p w:rsidR="002147B6" w:rsidRDefault="00524F74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FB7868">
        <w:rPr>
          <w:rFonts w:asciiTheme="majorHAnsi" w:hAnsiTheme="majorHAnsi"/>
          <w:color w:val="003366"/>
          <w:sz w:val="48"/>
          <w:szCs w:val="48"/>
        </w:rPr>
        <w:t xml:space="preserve">There’s no need to present value their </w:t>
      </w:r>
      <w:r w:rsidR="00A70246">
        <w:rPr>
          <w:rFonts w:asciiTheme="majorHAnsi" w:hAnsiTheme="majorHAnsi"/>
          <w:color w:val="003366"/>
          <w:sz w:val="48"/>
          <w:szCs w:val="48"/>
        </w:rPr>
        <w:t xml:space="preserve">future </w:t>
      </w:r>
      <w:r w:rsidR="00DE5A78" w:rsidRPr="00FB7868">
        <w:rPr>
          <w:rFonts w:asciiTheme="majorHAnsi" w:hAnsiTheme="majorHAnsi"/>
          <w:color w:val="003366"/>
          <w:sz w:val="48"/>
          <w:szCs w:val="48"/>
        </w:rPr>
        <w:t xml:space="preserve">income </w:t>
      </w:r>
      <w:r w:rsidR="00A70246">
        <w:rPr>
          <w:rFonts w:asciiTheme="majorHAnsi" w:hAnsiTheme="majorHAnsi"/>
          <w:color w:val="003366"/>
          <w:sz w:val="48"/>
          <w:szCs w:val="48"/>
        </w:rPr>
        <w:t xml:space="preserve">and capital gains </w:t>
      </w:r>
      <w:r w:rsidRPr="00FB7868">
        <w:rPr>
          <w:rFonts w:asciiTheme="majorHAnsi" w:hAnsiTheme="majorHAnsi"/>
          <w:color w:val="003366"/>
          <w:sz w:val="48"/>
          <w:szCs w:val="48"/>
        </w:rPr>
        <w:t>by the</w:t>
      </w:r>
      <w:r w:rsidR="00A70246">
        <w:rPr>
          <w:rFonts w:asciiTheme="majorHAnsi" w:hAnsiTheme="majorHAnsi"/>
          <w:color w:val="003366"/>
          <w:sz w:val="48"/>
          <w:szCs w:val="48"/>
        </w:rPr>
        <w:t>ir</w:t>
      </w:r>
      <w:r w:rsidRPr="00FB7868">
        <w:rPr>
          <w:rFonts w:asciiTheme="majorHAnsi" w:hAnsiTheme="majorHAnsi"/>
          <w:color w:val="003366"/>
          <w:sz w:val="48"/>
          <w:szCs w:val="48"/>
        </w:rPr>
        <w:t xml:space="preserve"> required return to find their worth. </w:t>
      </w:r>
      <w:r w:rsidR="00A70246">
        <w:rPr>
          <w:rFonts w:asciiTheme="majorHAnsi" w:hAnsiTheme="majorHAnsi"/>
          <w:color w:val="003366"/>
          <w:sz w:val="48"/>
          <w:szCs w:val="48"/>
        </w:rPr>
        <w:t>We know it already.</w:t>
      </w:r>
    </w:p>
    <w:p w:rsidR="00690C86" w:rsidRPr="00FB7868" w:rsidRDefault="00524F74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FB7868">
        <w:rPr>
          <w:rFonts w:asciiTheme="majorHAnsi" w:hAnsiTheme="majorHAnsi"/>
          <w:color w:val="003366"/>
          <w:sz w:val="48"/>
          <w:szCs w:val="48"/>
        </w:rPr>
        <w:t>This is related to the idea of</w:t>
      </w:r>
      <w:r w:rsidR="00690C86"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A70246">
        <w:rPr>
          <w:rFonts w:asciiTheme="majorHAnsi" w:hAnsiTheme="majorHAnsi"/>
          <w:color w:val="003366"/>
          <w:sz w:val="48"/>
          <w:szCs w:val="48"/>
        </w:rPr>
        <w:t xml:space="preserve">finding </w:t>
      </w:r>
      <w:r w:rsidR="00690C86" w:rsidRPr="00FB7868">
        <w:rPr>
          <w:rFonts w:asciiTheme="majorHAnsi" w:hAnsiTheme="majorHAnsi"/>
          <w:color w:val="003366"/>
          <w:sz w:val="48"/>
          <w:szCs w:val="48"/>
        </w:rPr>
        <w:t>enterprise value (EV):</w:t>
      </w:r>
    </w:p>
    <w:p w:rsidR="00524F74" w:rsidRPr="00FB7868" w:rsidRDefault="00690C86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EV=Assets-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ExcessCash+MarketableSecurities</m:t>
              </m:r>
            </m:e>
          </m:d>
        </m:oMath>
      </m:oMathPara>
    </w:p>
    <w:p w:rsidR="004A4D14" w:rsidRDefault="00DE5A78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FB7868">
        <w:rPr>
          <w:rFonts w:asciiTheme="majorHAnsi" w:hAnsiTheme="majorHAnsi"/>
          <w:color w:val="003366"/>
          <w:sz w:val="48"/>
          <w:szCs w:val="48"/>
        </w:rPr>
        <w:t>Also, excess cash is usually (or should be) invested in money market debt such as treasury bills which earns a market interest rate and is therefore fairly priced.</w:t>
      </w:r>
    </w:p>
    <w:p w:rsidR="004A4D14" w:rsidRPr="004777D9" w:rsidRDefault="004A4D14" w:rsidP="004A4D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How to Estimate Excess Cash?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4A4D14" w:rsidRPr="00145850" w:rsidRDefault="004A4D14" w:rsidP="004A4D1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145850">
        <w:rPr>
          <w:rFonts w:asciiTheme="majorHAnsi" w:hAnsiTheme="majorHAnsi"/>
          <w:color w:val="003366"/>
          <w:sz w:val="48"/>
          <w:szCs w:val="48"/>
        </w:rPr>
        <w:t xml:space="preserve">Excess cash is the part of cash on the balance sheet that a firm does not need, it’s in excess of requirements. </w:t>
      </w:r>
    </w:p>
    <w:p w:rsidR="004A4D14" w:rsidRPr="00145850" w:rsidRDefault="004A4D14" w:rsidP="004A4D1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145850">
        <w:rPr>
          <w:rFonts w:asciiTheme="majorHAnsi" w:hAnsiTheme="majorHAnsi"/>
          <w:color w:val="003366"/>
          <w:sz w:val="48"/>
          <w:szCs w:val="48"/>
        </w:rPr>
        <w:t xml:space="preserve">Some cash is needed to pay employees and suppliers on time and have notes and coins in the cash register. But some firms have more cash than necessary </w:t>
      </w:r>
      <w:r w:rsidR="000C5D2F">
        <w:rPr>
          <w:rFonts w:asciiTheme="majorHAnsi" w:hAnsiTheme="majorHAnsi"/>
          <w:color w:val="003366"/>
          <w:sz w:val="48"/>
          <w:szCs w:val="48"/>
        </w:rPr>
        <w:t xml:space="preserve">(perhaps tax reasons) </w:t>
      </w:r>
      <w:r w:rsidRPr="00145850">
        <w:rPr>
          <w:rFonts w:asciiTheme="majorHAnsi" w:hAnsiTheme="majorHAnsi"/>
          <w:color w:val="003366"/>
          <w:sz w:val="48"/>
          <w:szCs w:val="48"/>
        </w:rPr>
        <w:t>and this is excess cash.</w:t>
      </w:r>
    </w:p>
    <w:p w:rsidR="004A4D14" w:rsidRPr="00145850" w:rsidRDefault="004A4D14" w:rsidP="004A4D14">
      <w:pPr>
        <w:spacing w:after="200" w:line="276" w:lineRule="auto"/>
        <w:rPr>
          <w:rFonts w:asciiTheme="majorHAnsi" w:hAnsiTheme="majorHAnsi"/>
          <w:b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color w:val="003366"/>
              <w:sz w:val="48"/>
              <w:szCs w:val="48"/>
            </w:rPr>
            <m:t>CashOnBalanceSheet=NecessaryCash+ExcessCash</m:t>
          </m:r>
        </m:oMath>
      </m:oMathPara>
    </w:p>
    <w:p w:rsidR="004A4D14" w:rsidRDefault="004A4D14" w:rsidP="004A4D1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145850">
        <w:rPr>
          <w:rFonts w:asciiTheme="majorHAnsi" w:hAnsiTheme="majorHAnsi"/>
          <w:color w:val="003366"/>
          <w:sz w:val="48"/>
          <w:szCs w:val="48"/>
        </w:rPr>
        <w:t xml:space="preserve">Accountants don’t break cash into the necessary and excess components on the balance sheet. </w:t>
      </w:r>
    </w:p>
    <w:p w:rsidR="00DE5A78" w:rsidRPr="00FB7868" w:rsidRDefault="004A4D14" w:rsidP="004A4D1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145850">
        <w:rPr>
          <w:rFonts w:asciiTheme="majorHAnsi" w:hAnsiTheme="majorHAnsi"/>
          <w:color w:val="003366"/>
          <w:sz w:val="48"/>
          <w:szCs w:val="48"/>
        </w:rPr>
        <w:t>But excess cash is often estimated based on past levels and industry averages. For example, necessary cash is often estimated to be a set proportion (say 4%) of sales or total assets, and any extra cash is deemed to be excess cash.</w:t>
      </w:r>
    </w:p>
    <w:p w:rsidR="002147B6" w:rsidRPr="00524F74" w:rsidRDefault="002147B6" w:rsidP="002147B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Why </w:t>
      </w:r>
      <w:r w:rsidR="00F764E0">
        <w:rPr>
          <w:rFonts w:asciiTheme="majorHAnsi" w:hAnsiTheme="majorHAnsi"/>
          <w:b/>
          <w:i/>
          <w:color w:val="800000"/>
          <w:sz w:val="72"/>
          <w:szCs w:val="72"/>
        </w:rPr>
        <w:t>Subtract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I</w:t>
      </w:r>
      <w:r w:rsidR="00F764E0">
        <w:rPr>
          <w:rFonts w:asciiTheme="majorHAnsi" w:hAnsiTheme="majorHAnsi"/>
          <w:b/>
          <w:i/>
          <w:color w:val="800000"/>
          <w:sz w:val="72"/>
          <w:szCs w:val="72"/>
        </w:rPr>
        <w:t>nterest-B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earing Debt from CL?</w:t>
      </w:r>
    </w:p>
    <w:p w:rsidR="00B4453A" w:rsidRPr="00B4453A" w:rsidRDefault="00B4453A" w:rsidP="00B4453A">
      <w:pPr>
        <w:spacing w:after="200" w:line="276" w:lineRule="auto"/>
        <w:rPr>
          <w:rFonts w:asciiTheme="majorHAnsi" w:hAnsiTheme="majorHAnsi"/>
          <w:b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ΔNOWC=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w:rPr>
              <w:rFonts w:ascii="Cambria Math" w:hAnsi="Cambria Math"/>
              <w:color w:val="003366"/>
              <w:sz w:val="48"/>
              <w:szCs w:val="48"/>
            </w:rPr>
            <m:t>CA-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ΔExcessCash</m:t>
          </m:r>
          <m:r>
            <w:rPr>
              <w:rFonts w:ascii="Cambria Math" w:hAnsi="Cambria Math"/>
              <w:color w:val="003366"/>
              <w:sz w:val="48"/>
              <w:szCs w:val="48"/>
            </w:rPr>
            <m:t>-(</m:t>
          </m:r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w:rPr>
              <w:rFonts w:ascii="Cambria Math" w:hAnsi="Cambria Math"/>
              <w:color w:val="003366"/>
              <w:sz w:val="48"/>
              <w:szCs w:val="48"/>
            </w:rPr>
            <m:t>CL-</m:t>
          </m:r>
          <m:r>
            <m:rPr>
              <m:sty m:val="b"/>
            </m:rPr>
            <w:rPr>
              <w:rFonts w:ascii="Cambria Math" w:hAnsi="Cambria Math"/>
              <w:color w:val="003366"/>
              <w:sz w:val="48"/>
              <w:szCs w:val="48"/>
            </w:rPr>
            <m:t>Δ</m:t>
          </m:r>
          <m:r>
            <m:rPr>
              <m:sty m:val="bi"/>
            </m:rPr>
            <w:rPr>
              <w:rFonts w:ascii="Cambria Math" w:hAnsi="Cambria Math"/>
              <w:color w:val="003366"/>
              <w:sz w:val="48"/>
              <w:szCs w:val="48"/>
            </w:rPr>
            <m:t>InterestBearingCL)</m:t>
          </m:r>
        </m:oMath>
      </m:oMathPara>
    </w:p>
    <w:p w:rsidR="002147B6" w:rsidRDefault="002147B6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I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nterest-bearing debt </w:t>
      </w:r>
      <w:r>
        <w:rPr>
          <w:rFonts w:asciiTheme="majorHAnsi" w:hAnsiTheme="majorHAnsi"/>
          <w:color w:val="003366"/>
          <w:sz w:val="48"/>
          <w:szCs w:val="48"/>
        </w:rPr>
        <w:t xml:space="preserve">is excluded </w:t>
      </w:r>
      <w:r w:rsidR="00B4453A">
        <w:rPr>
          <w:rFonts w:asciiTheme="majorHAnsi" w:hAnsiTheme="majorHAnsi"/>
          <w:color w:val="003366"/>
          <w:sz w:val="48"/>
          <w:szCs w:val="48"/>
        </w:rPr>
        <w:t xml:space="preserve">from current liabilities (CL) 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since </w:t>
      </w:r>
      <w:r w:rsidR="00E30BF5" w:rsidRPr="00FB7868">
        <w:rPr>
          <w:rFonts w:asciiTheme="majorHAnsi" w:hAnsiTheme="majorHAnsi"/>
          <w:color w:val="003366"/>
          <w:sz w:val="48"/>
          <w:szCs w:val="48"/>
        </w:rPr>
        <w:t xml:space="preserve">its financing cost </w:t>
      </w:r>
      <w:r w:rsidR="00524F74" w:rsidRPr="00FB7868">
        <w:rPr>
          <w:rFonts w:asciiTheme="majorHAnsi" w:hAnsiTheme="majorHAnsi"/>
          <w:color w:val="003366"/>
          <w:sz w:val="48"/>
          <w:szCs w:val="48"/>
        </w:rPr>
        <w:t xml:space="preserve">will be included in the weighted average cost of capital (WACC) required return. </w:t>
      </w:r>
    </w:p>
    <w:p w:rsidR="00524F74" w:rsidRPr="00FB7868" w:rsidRDefault="00524F74" w:rsidP="00FB786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FB7868">
        <w:rPr>
          <w:rFonts w:asciiTheme="majorHAnsi" w:hAnsiTheme="majorHAnsi"/>
          <w:color w:val="003366"/>
          <w:sz w:val="48"/>
          <w:szCs w:val="48"/>
        </w:rPr>
        <w:t xml:space="preserve">Including interest bearing debt in both </w:t>
      </w:r>
      <w:proofErr w:type="gramStart"/>
      <w:r w:rsidRPr="00FB7868">
        <w:rPr>
          <w:rFonts w:asciiTheme="majorHAnsi" w:hAnsiTheme="majorHAnsi"/>
          <w:color w:val="003366"/>
          <w:sz w:val="48"/>
          <w:szCs w:val="48"/>
        </w:rPr>
        <w:t xml:space="preserve">the </w:t>
      </w:r>
      <m:oMath>
        <m:r>
          <w:rPr>
            <w:rFonts w:ascii="Cambria Math" w:hAnsi="Cambria Math"/>
            <w:color w:val="003366"/>
            <w:sz w:val="48"/>
            <w:szCs w:val="48"/>
          </w:rPr>
          <m:t>ΔNOWC</m:t>
        </m:r>
      </m:oMath>
      <w:r w:rsidRPr="00FB7868">
        <w:rPr>
          <w:rFonts w:asciiTheme="majorHAnsi" w:hAnsiTheme="majorHAnsi"/>
          <w:color w:val="003366"/>
          <w:sz w:val="48"/>
          <w:szCs w:val="48"/>
        </w:rPr>
        <w:t xml:space="preserve"> and</w:t>
      </w:r>
      <w:proofErr w:type="gramEnd"/>
      <w:r w:rsidRPr="00FB7868">
        <w:rPr>
          <w:rFonts w:asciiTheme="majorHAnsi" w:hAnsiTheme="majorHAnsi"/>
          <w:color w:val="003366"/>
          <w:sz w:val="48"/>
          <w:szCs w:val="48"/>
        </w:rPr>
        <w:t xml:space="preserve"> WACC will double-count its cost</w:t>
      </w:r>
      <w:r w:rsidR="00F764E0">
        <w:rPr>
          <w:rFonts w:asciiTheme="majorHAnsi" w:hAnsiTheme="majorHAnsi"/>
          <w:color w:val="003366"/>
          <w:sz w:val="48"/>
          <w:szCs w:val="48"/>
        </w:rPr>
        <w:t xml:space="preserve"> which is incorrect</w:t>
      </w:r>
      <w:r w:rsidRPr="00FB7868">
        <w:rPr>
          <w:rFonts w:asciiTheme="majorHAnsi" w:hAnsiTheme="majorHAnsi"/>
          <w:color w:val="003366"/>
          <w:sz w:val="48"/>
          <w:szCs w:val="48"/>
        </w:rPr>
        <w:t>.</w:t>
      </w:r>
    </w:p>
    <w:p w:rsidR="00B86D11" w:rsidRPr="00C02DFF" w:rsidRDefault="00DE5A78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FB7868">
        <w:rPr>
          <w:rFonts w:asciiTheme="majorHAnsi" w:hAnsiTheme="majorHAnsi"/>
          <w:color w:val="003366"/>
          <w:sz w:val="48"/>
          <w:szCs w:val="48"/>
        </w:rPr>
        <w:t xml:space="preserve">After </w:t>
      </w:r>
      <w:r w:rsidR="002147B6">
        <w:rPr>
          <w:rFonts w:asciiTheme="majorHAnsi" w:hAnsiTheme="majorHAnsi"/>
          <w:color w:val="003366"/>
          <w:sz w:val="48"/>
          <w:szCs w:val="48"/>
        </w:rPr>
        <w:t>ignoring changes in</w:t>
      </w:r>
      <w:r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2147B6" w:rsidRPr="00FB7868">
        <w:rPr>
          <w:rFonts w:asciiTheme="majorHAnsi" w:hAnsiTheme="majorHAnsi"/>
          <w:color w:val="003366"/>
          <w:sz w:val="48"/>
          <w:szCs w:val="48"/>
        </w:rPr>
        <w:t>interest-bearing current liabilities</w:t>
      </w:r>
      <w:r w:rsidR="002147B6">
        <w:rPr>
          <w:rFonts w:asciiTheme="majorHAnsi" w:hAnsiTheme="majorHAnsi"/>
          <w:color w:val="003366"/>
          <w:sz w:val="48"/>
          <w:szCs w:val="48"/>
        </w:rPr>
        <w:t>,</w:t>
      </w:r>
      <w:r w:rsidR="002147B6"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F9160E" w:rsidRPr="00FB7868">
        <w:rPr>
          <w:rFonts w:asciiTheme="majorHAnsi" w:hAnsiTheme="majorHAnsi"/>
          <w:color w:val="003366"/>
          <w:sz w:val="48"/>
          <w:szCs w:val="48"/>
        </w:rPr>
        <w:t>excess cash</w:t>
      </w:r>
      <w:r w:rsidR="002147B6">
        <w:rPr>
          <w:rFonts w:asciiTheme="majorHAnsi" w:hAnsiTheme="majorHAnsi"/>
          <w:color w:val="003366"/>
          <w:sz w:val="48"/>
          <w:szCs w:val="48"/>
        </w:rPr>
        <w:t xml:space="preserve"> and</w:t>
      </w:r>
      <w:r w:rsidR="00F9160E" w:rsidRPr="00FB7868">
        <w:rPr>
          <w:rFonts w:asciiTheme="majorHAnsi" w:hAnsiTheme="majorHAnsi"/>
          <w:color w:val="003366"/>
          <w:sz w:val="48"/>
          <w:szCs w:val="48"/>
        </w:rPr>
        <w:t xml:space="preserve"> marketable securities</w:t>
      </w:r>
      <w:r w:rsidRPr="00FB7868">
        <w:rPr>
          <w:rFonts w:asciiTheme="majorHAnsi" w:hAnsiTheme="majorHAnsi"/>
          <w:color w:val="003366"/>
          <w:sz w:val="48"/>
          <w:szCs w:val="48"/>
        </w:rPr>
        <w:t xml:space="preserve">, </w:t>
      </w:r>
      <m:oMath>
        <m:r>
          <w:rPr>
            <w:rFonts w:ascii="Cambria Math" w:hAnsi="Cambria Math"/>
            <w:color w:val="003366"/>
            <w:sz w:val="48"/>
            <w:szCs w:val="48"/>
          </w:rPr>
          <m:t>ΔNOWC</m:t>
        </m:r>
      </m:oMath>
      <w:r w:rsidR="00690C86"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Pr="00FB7868">
        <w:rPr>
          <w:rFonts w:asciiTheme="majorHAnsi" w:hAnsiTheme="majorHAnsi"/>
          <w:color w:val="003366"/>
          <w:sz w:val="48"/>
          <w:szCs w:val="48"/>
        </w:rPr>
        <w:t>should include</w:t>
      </w:r>
      <w:r w:rsidR="00690C86" w:rsidRPr="00FB7868">
        <w:rPr>
          <w:rFonts w:asciiTheme="majorHAnsi" w:hAnsiTheme="majorHAnsi"/>
          <w:color w:val="003366"/>
          <w:sz w:val="48"/>
          <w:szCs w:val="48"/>
        </w:rPr>
        <w:t xml:space="preserve"> investment into the short term assets needed to run the business</w:t>
      </w:r>
      <w:r w:rsidRPr="00FB7868">
        <w:rPr>
          <w:rFonts w:asciiTheme="majorHAnsi" w:hAnsiTheme="majorHAnsi"/>
          <w:color w:val="003366"/>
          <w:sz w:val="48"/>
          <w:szCs w:val="48"/>
        </w:rPr>
        <w:t xml:space="preserve">, similarly to </w:t>
      </w:r>
      <w:r w:rsidR="00F9160E" w:rsidRPr="00FB7868">
        <w:rPr>
          <w:rFonts w:asciiTheme="majorHAnsi" w:hAnsiTheme="majorHAnsi"/>
          <w:color w:val="003366"/>
          <w:sz w:val="48"/>
          <w:szCs w:val="48"/>
        </w:rPr>
        <w:t xml:space="preserve">how </w:t>
      </w:r>
      <w:proofErr w:type="spellStart"/>
      <w:r w:rsidRPr="00FB7868">
        <w:rPr>
          <w:rFonts w:asciiTheme="majorHAnsi" w:hAnsiTheme="majorHAnsi"/>
          <w:color w:val="003366"/>
          <w:sz w:val="48"/>
          <w:szCs w:val="48"/>
        </w:rPr>
        <w:t>CapEx</w:t>
      </w:r>
      <w:proofErr w:type="spellEnd"/>
      <w:r w:rsidRPr="00FB786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="00F9160E" w:rsidRPr="00FB7868">
        <w:rPr>
          <w:rFonts w:asciiTheme="majorHAnsi" w:hAnsiTheme="majorHAnsi"/>
          <w:color w:val="003366"/>
          <w:sz w:val="48"/>
          <w:szCs w:val="48"/>
        </w:rPr>
        <w:t xml:space="preserve">includes </w:t>
      </w:r>
      <w:r w:rsidRPr="00FB7868">
        <w:rPr>
          <w:rFonts w:asciiTheme="majorHAnsi" w:hAnsiTheme="majorHAnsi"/>
          <w:color w:val="003366"/>
          <w:sz w:val="48"/>
          <w:szCs w:val="48"/>
        </w:rPr>
        <w:t>investment into the long term assets</w:t>
      </w:r>
      <w:r w:rsidR="00F9160E" w:rsidRPr="00FB7868">
        <w:rPr>
          <w:rFonts w:asciiTheme="majorHAnsi" w:hAnsiTheme="majorHAnsi"/>
          <w:color w:val="003366"/>
          <w:sz w:val="48"/>
          <w:szCs w:val="48"/>
        </w:rPr>
        <w:t xml:space="preserve"> needed to run the business</w:t>
      </w:r>
      <w:r w:rsidR="00690C86" w:rsidRPr="00FB7868">
        <w:rPr>
          <w:rFonts w:asciiTheme="majorHAnsi" w:hAnsiTheme="majorHAnsi"/>
          <w:color w:val="003366"/>
          <w:sz w:val="48"/>
          <w:szCs w:val="48"/>
        </w:rPr>
        <w:t xml:space="preserve">. </w:t>
      </w:r>
    </w:p>
    <w:sectPr w:rsidR="00B86D11" w:rsidRPr="00C02DFF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9D" w:rsidRDefault="004D089D" w:rsidP="00A656FD">
      <w:r>
        <w:separator/>
      </w:r>
    </w:p>
  </w:endnote>
  <w:endnote w:type="continuationSeparator" w:id="0">
    <w:p w:rsidR="004D089D" w:rsidRDefault="004D089D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3A5740">
          <w:rPr>
            <w:i/>
            <w:noProof/>
            <w:sz w:val="36"/>
            <w:szCs w:val="36"/>
          </w:rPr>
          <w:t>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9D" w:rsidRDefault="004D089D" w:rsidP="00A656FD">
      <w:r>
        <w:separator/>
      </w:r>
    </w:p>
  </w:footnote>
  <w:footnote w:type="continuationSeparator" w:id="0">
    <w:p w:rsidR="004D089D" w:rsidRDefault="004D089D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740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35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10B9"/>
    <w:rsid w:val="0049172E"/>
    <w:rsid w:val="004930D6"/>
    <w:rsid w:val="0049313D"/>
    <w:rsid w:val="00494020"/>
    <w:rsid w:val="00494C47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6CA"/>
    <w:rsid w:val="004C3BF5"/>
    <w:rsid w:val="004C61EF"/>
    <w:rsid w:val="004C71A3"/>
    <w:rsid w:val="004D089D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54F5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5DE3"/>
    <w:rsid w:val="006C7228"/>
    <w:rsid w:val="006D03B3"/>
    <w:rsid w:val="006D049E"/>
    <w:rsid w:val="006D0CFF"/>
    <w:rsid w:val="006D126E"/>
    <w:rsid w:val="006D14C4"/>
    <w:rsid w:val="006D2E11"/>
    <w:rsid w:val="006D37D3"/>
    <w:rsid w:val="006D4A19"/>
    <w:rsid w:val="006D5159"/>
    <w:rsid w:val="006D582D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25500"/>
    <w:rsid w:val="007312C7"/>
    <w:rsid w:val="00734C4B"/>
    <w:rsid w:val="00740E03"/>
    <w:rsid w:val="00741C72"/>
    <w:rsid w:val="0074518E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E7664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37C64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2DFF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DC6B-40BC-4C4A-9E97-915C7DA3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7225</TotalTime>
  <Pages>6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263</cp:revision>
  <cp:lastPrinted>2020-08-20T10:48:00Z</cp:lastPrinted>
  <dcterms:created xsi:type="dcterms:W3CDTF">2014-03-01T11:33:00Z</dcterms:created>
  <dcterms:modified xsi:type="dcterms:W3CDTF">2020-08-20T10:51:00Z</dcterms:modified>
</cp:coreProperties>
</file>