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11" w:rsidRDefault="00634781" w:rsidP="00B86D1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Integrated 3 Statement Forecasts – </w:t>
      </w:r>
    </w:p>
    <w:p w:rsidR="00634781" w:rsidRDefault="00634781" w:rsidP="00B86D1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Linking the Balance Sheet, Profit and Loss and Cash Flow statement</w:t>
      </w:r>
      <w:r w:rsidR="006B22A4">
        <w:rPr>
          <w:rFonts w:asciiTheme="majorHAnsi" w:hAnsiTheme="majorHAnsi"/>
          <w:b/>
          <w:i/>
          <w:color w:val="800000"/>
          <w:sz w:val="72"/>
          <w:szCs w:val="72"/>
        </w:rPr>
        <w:t>s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>Start with the balance sheet: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>A = L + OE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Look at the changes (Delta, Δ) in each amount since last year. So for example, ΔA = A1 - A0 where now is time 1 and last year was time 0. 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>ΔA = ΔL + ΔOE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>Break these changes in the balance sheet items into their current and non-current components: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>ΔCA + ΔNCA = ΔCL + ΔNCL + ΔOE</w:t>
      </w:r>
    </w:p>
    <w:p w:rsidR="00E343ED" w:rsidRDefault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br w:type="page"/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lastRenderedPageBreak/>
        <w:t xml:space="preserve">Make the following </w:t>
      </w:r>
      <w:r w:rsidR="001A1CD8">
        <w:rPr>
          <w:rFonts w:asciiTheme="majorHAnsi" w:hAnsiTheme="majorHAnsi"/>
          <w:color w:val="003366"/>
          <w:sz w:val="44"/>
          <w:szCs w:val="44"/>
        </w:rPr>
        <w:t>4</w:t>
      </w:r>
      <w:r w:rsidR="00712B01">
        <w:rPr>
          <w:rFonts w:asciiTheme="majorHAnsi" w:hAnsiTheme="majorHAnsi"/>
          <w:color w:val="003366"/>
          <w:sz w:val="44"/>
          <w:szCs w:val="44"/>
        </w:rPr>
        <w:t xml:space="preserve"> </w:t>
      </w:r>
      <w:r w:rsidRPr="00E343ED">
        <w:rPr>
          <w:rFonts w:asciiTheme="majorHAnsi" w:hAnsiTheme="majorHAnsi"/>
          <w:color w:val="003366"/>
          <w:sz w:val="44"/>
          <w:szCs w:val="44"/>
        </w:rPr>
        <w:t>substitutions: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ΔCA 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ΔCAExclCash</w:t>
      </w:r>
      <w:proofErr w:type="spellEnd"/>
    </w:p>
    <w:p w:rsid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ΔCL + ΔNCL 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ΔIBL, </w:t>
      </w:r>
    </w:p>
    <w:p w:rsidR="00E343ED" w:rsidRPr="00E343ED" w:rsidRDefault="00E343ED" w:rsidP="00712B01">
      <w:pPr>
        <w:spacing w:after="200" w:line="276" w:lineRule="auto"/>
        <w:ind w:left="720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>W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here ΔIBL = Increase in interest bearing liabilities such as loans, bonds, debentures, promissory notes and bank accepted bill liabilities, but not employees' long service leave liabilities (a type of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NCLExclIBL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), for example, which bear no interest.</w:t>
      </w:r>
    </w:p>
    <w:p w:rsid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ΔNCA 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ΔNCAExclPPEAndIntangibles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</w:p>
    <w:p w:rsidR="00E343ED" w:rsidRPr="00E343ED" w:rsidRDefault="00E343ED" w:rsidP="00712B01">
      <w:pPr>
        <w:spacing w:after="200" w:line="276" w:lineRule="auto"/>
        <w:ind w:left="720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>N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ote that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ΔNCAExclPPEAndIntangibles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includes ΔDTA (</w:t>
      </w:r>
      <w:r w:rsidR="005B64B4">
        <w:rPr>
          <w:rFonts w:asciiTheme="majorHAnsi" w:hAnsiTheme="majorHAnsi"/>
          <w:color w:val="003366"/>
          <w:sz w:val="44"/>
          <w:szCs w:val="44"/>
        </w:rPr>
        <w:t xml:space="preserve">increase in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deferred tax assets), and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includes ΔDTL (</w:t>
      </w:r>
      <w:r w:rsidR="005B64B4">
        <w:rPr>
          <w:rFonts w:asciiTheme="majorHAnsi" w:hAnsiTheme="majorHAnsi"/>
          <w:color w:val="003366"/>
          <w:sz w:val="44"/>
          <w:szCs w:val="44"/>
        </w:rPr>
        <w:t xml:space="preserve">increase in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deferred tax liabilities) which both belong in the category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OperatingCashflows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, whereas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belongs to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InvestingCashflows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.</w:t>
      </w:r>
    </w:p>
    <w:p w:rsidR="00E343ED" w:rsidRDefault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br w:type="page"/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lastRenderedPageBreak/>
        <w:t xml:space="preserve">ΔOE 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ΔContributedEquity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ΔRetainedEarnings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       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ΔContributedEquity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NetIncome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Dividends)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        </w:t>
      </w:r>
      <w:r w:rsidRPr="00E343ED">
        <w:rPr>
          <w:rFonts w:asciiTheme="majorHAnsi" w:hAnsiTheme="majorHAnsi"/>
          <w:color w:val="003366"/>
          <w:sz w:val="44"/>
          <w:szCs w:val="44"/>
        </w:rPr>
        <w:t>=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EquityRaisings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Buybacks) +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NetIncome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Dividends)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       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NetIncome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EFCF</w:t>
      </w:r>
    </w:p>
    <w:p w:rsid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>After substituting: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0"/>
          <w:szCs w:val="40"/>
        </w:rPr>
      </w:pPr>
      <w:proofErr w:type="spellStart"/>
      <w:r w:rsidRPr="00E343ED">
        <w:rPr>
          <w:rFonts w:asciiTheme="majorHAnsi" w:hAnsiTheme="majorHAnsi"/>
          <w:color w:val="003366"/>
          <w:sz w:val="40"/>
          <w:szCs w:val="40"/>
        </w:rPr>
        <w:t>ΔCash</w:t>
      </w:r>
      <w:proofErr w:type="spellEnd"/>
      <w:r w:rsidRPr="00E343ED">
        <w:rPr>
          <w:rFonts w:asciiTheme="majorHAnsi" w:hAnsiTheme="majorHAnsi"/>
          <w:color w:val="003366"/>
          <w:sz w:val="40"/>
          <w:szCs w:val="40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0"/>
          <w:szCs w:val="40"/>
        </w:rPr>
        <w:t>ΔCAExclCash</w:t>
      </w:r>
      <w:proofErr w:type="spellEnd"/>
      <w:r w:rsidRPr="00E343ED">
        <w:rPr>
          <w:rFonts w:asciiTheme="majorHAnsi" w:hAnsiTheme="majorHAnsi"/>
          <w:color w:val="003366"/>
          <w:sz w:val="40"/>
          <w:szCs w:val="40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0"/>
          <w:szCs w:val="40"/>
        </w:rPr>
        <w:t>ΔPPEAndIntangibles</w:t>
      </w:r>
      <w:proofErr w:type="spellEnd"/>
      <w:r w:rsidRPr="00E343ED">
        <w:rPr>
          <w:rFonts w:asciiTheme="majorHAnsi" w:hAnsiTheme="majorHAnsi"/>
          <w:color w:val="003366"/>
          <w:sz w:val="40"/>
          <w:szCs w:val="40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0"/>
          <w:szCs w:val="40"/>
        </w:rPr>
        <w:t>ΔNCAExclPPEAndIntangibles</w:t>
      </w:r>
      <w:proofErr w:type="spellEnd"/>
      <w:r>
        <w:rPr>
          <w:rFonts w:asciiTheme="majorHAnsi" w:hAnsiTheme="majorHAnsi"/>
          <w:color w:val="003366"/>
          <w:sz w:val="40"/>
          <w:szCs w:val="40"/>
        </w:rPr>
        <w:t xml:space="preserve"> </w:t>
      </w:r>
      <w:r w:rsidRPr="00E343ED">
        <w:rPr>
          <w:rFonts w:asciiTheme="majorHAnsi" w:hAnsiTheme="majorHAnsi"/>
          <w:color w:val="003366"/>
          <w:sz w:val="40"/>
          <w:szCs w:val="40"/>
        </w:rPr>
        <w:t xml:space="preserve">= </w:t>
      </w:r>
    </w:p>
    <w:p w:rsid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0"/>
          <w:szCs w:val="40"/>
        </w:rPr>
      </w:pPr>
      <w:proofErr w:type="spellStart"/>
      <w:r w:rsidRPr="00E343ED">
        <w:rPr>
          <w:rFonts w:asciiTheme="majorHAnsi" w:hAnsiTheme="majorHAnsi"/>
          <w:color w:val="003366"/>
          <w:sz w:val="40"/>
          <w:szCs w:val="40"/>
        </w:rPr>
        <w:t>ΔCLExclIBL</w:t>
      </w:r>
      <w:proofErr w:type="spellEnd"/>
      <w:r w:rsidRPr="00E343ED">
        <w:rPr>
          <w:rFonts w:asciiTheme="majorHAnsi" w:hAnsiTheme="majorHAnsi"/>
          <w:color w:val="003366"/>
          <w:sz w:val="40"/>
          <w:szCs w:val="40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0"/>
          <w:szCs w:val="40"/>
        </w:rPr>
        <w:t>ΔNCLExclIBL</w:t>
      </w:r>
      <w:proofErr w:type="spellEnd"/>
      <w:r w:rsidRPr="00E343ED">
        <w:rPr>
          <w:rFonts w:asciiTheme="majorHAnsi" w:hAnsiTheme="majorHAnsi"/>
          <w:color w:val="003366"/>
          <w:sz w:val="40"/>
          <w:szCs w:val="40"/>
        </w:rPr>
        <w:t xml:space="preserve"> + ΔIBL + </w:t>
      </w:r>
      <w:proofErr w:type="spellStart"/>
      <w:r w:rsidRPr="00E343ED">
        <w:rPr>
          <w:rFonts w:asciiTheme="majorHAnsi" w:hAnsiTheme="majorHAnsi"/>
          <w:color w:val="003366"/>
          <w:sz w:val="40"/>
          <w:szCs w:val="40"/>
        </w:rPr>
        <w:t>ΔContributedEquity</w:t>
      </w:r>
      <w:proofErr w:type="spellEnd"/>
      <w:r w:rsidRPr="00E343ED">
        <w:rPr>
          <w:rFonts w:asciiTheme="majorHAnsi" w:hAnsiTheme="majorHAnsi"/>
          <w:color w:val="003366"/>
          <w:sz w:val="40"/>
          <w:szCs w:val="40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0"/>
          <w:szCs w:val="40"/>
        </w:rPr>
        <w:t>NetIncome</w:t>
      </w:r>
      <w:proofErr w:type="spellEnd"/>
      <w:r w:rsidRPr="00E343ED">
        <w:rPr>
          <w:rFonts w:asciiTheme="majorHAnsi" w:hAnsiTheme="majorHAnsi"/>
          <w:color w:val="003366"/>
          <w:sz w:val="40"/>
          <w:szCs w:val="40"/>
        </w:rPr>
        <w:t xml:space="preserve"> - Dividends + </w:t>
      </w:r>
      <w:proofErr w:type="spellStart"/>
      <w:r w:rsidRPr="00E343ED">
        <w:rPr>
          <w:rFonts w:asciiTheme="majorHAnsi" w:hAnsiTheme="majorHAnsi"/>
          <w:color w:val="003366"/>
          <w:sz w:val="40"/>
          <w:szCs w:val="40"/>
        </w:rPr>
        <w:t>ΔReserves</w:t>
      </w:r>
      <w:proofErr w:type="spellEnd"/>
    </w:p>
    <w:p w:rsidR="001A1CD8" w:rsidRPr="00E343ED" w:rsidRDefault="001A1CD8" w:rsidP="00E343ED">
      <w:pPr>
        <w:spacing w:after="200" w:line="276" w:lineRule="auto"/>
        <w:rPr>
          <w:rFonts w:asciiTheme="majorHAnsi" w:hAnsiTheme="majorHAnsi"/>
          <w:color w:val="003366"/>
          <w:sz w:val="40"/>
          <w:szCs w:val="40"/>
        </w:rPr>
      </w:pP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Re-arrange these so they're grouped into the 3 categories of the cash flow statement,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OperatingCashflows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InvestingCashflows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FinancingCashflows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: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lastRenderedPageBreak/>
        <w:t>ΔCash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NetIncome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ΔCAExclCash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ΔNCAExclPPEAndIntangibles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) -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) + ΔIBL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ΔContributedEquity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Dividends 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Let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= depreciation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amortisation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from the P&amp;L, and then add and subtract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in two separate places on the right hand side of the equation, which is like adding zero: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= </w:t>
      </w:r>
      <w:proofErr w:type="spellStart"/>
      <w:r w:rsidRPr="006C3918">
        <w:rPr>
          <w:rFonts w:asciiTheme="majorHAnsi" w:hAnsiTheme="majorHAnsi"/>
          <w:color w:val="E36C0A" w:themeColor="accent6" w:themeShade="BF"/>
          <w:sz w:val="44"/>
          <w:szCs w:val="44"/>
        </w:rPr>
        <w:t>NetIncome</w:t>
      </w:r>
      <w:proofErr w:type="spellEnd"/>
      <w:r w:rsidRPr="006C3918">
        <w:rPr>
          <w:rFonts w:asciiTheme="majorHAnsi" w:hAnsiTheme="majorHAnsi"/>
          <w:color w:val="E36C0A" w:themeColor="accent6" w:themeShade="BF"/>
          <w:sz w:val="44"/>
          <w:szCs w:val="44"/>
        </w:rPr>
        <w:t xml:space="preserve"> + </w:t>
      </w:r>
      <w:proofErr w:type="spellStart"/>
      <w:r w:rsidRPr="006C3918">
        <w:rPr>
          <w:rFonts w:asciiTheme="majorHAnsi" w:hAnsiTheme="majorHAnsi"/>
          <w:color w:val="E36C0A" w:themeColor="accent6" w:themeShade="BF"/>
          <w:sz w:val="44"/>
          <w:szCs w:val="44"/>
        </w:rPr>
        <w:t>Depr</w:t>
      </w:r>
      <w:proofErr w:type="spellEnd"/>
      <w:r w:rsidRPr="006C3918">
        <w:rPr>
          <w:rFonts w:asciiTheme="majorHAnsi" w:hAnsiTheme="majorHAnsi"/>
          <w:color w:val="E36C0A" w:themeColor="accent6" w:themeShade="BF"/>
          <w:sz w:val="44"/>
          <w:szCs w:val="44"/>
        </w:rPr>
        <w:t xml:space="preserve"> - (</w:t>
      </w:r>
      <w:proofErr w:type="spellStart"/>
      <w:r w:rsidRPr="006C3918">
        <w:rPr>
          <w:rFonts w:asciiTheme="majorHAnsi" w:hAnsiTheme="majorHAnsi"/>
          <w:color w:val="E36C0A" w:themeColor="accent6" w:themeShade="BF"/>
          <w:sz w:val="44"/>
          <w:szCs w:val="44"/>
        </w:rPr>
        <w:t>ΔCAExclCash</w:t>
      </w:r>
      <w:proofErr w:type="spellEnd"/>
      <w:r w:rsidRPr="006C3918">
        <w:rPr>
          <w:rFonts w:asciiTheme="majorHAnsi" w:hAnsiTheme="majorHAnsi"/>
          <w:color w:val="E36C0A" w:themeColor="accent6" w:themeShade="BF"/>
          <w:sz w:val="44"/>
          <w:szCs w:val="44"/>
        </w:rPr>
        <w:t xml:space="preserve"> - </w:t>
      </w:r>
      <w:proofErr w:type="spellStart"/>
      <w:r w:rsidRPr="006C3918">
        <w:rPr>
          <w:rFonts w:asciiTheme="majorHAnsi" w:hAnsiTheme="majorHAnsi"/>
          <w:color w:val="E36C0A" w:themeColor="accent6" w:themeShade="BF"/>
          <w:sz w:val="44"/>
          <w:szCs w:val="44"/>
        </w:rPr>
        <w:t>ΔCLExclIBL</w:t>
      </w:r>
      <w:proofErr w:type="spellEnd"/>
      <w:r w:rsidRPr="006C3918">
        <w:rPr>
          <w:rFonts w:asciiTheme="majorHAnsi" w:hAnsiTheme="majorHAnsi"/>
          <w:color w:val="E36C0A" w:themeColor="accent6" w:themeShade="BF"/>
          <w:sz w:val="44"/>
          <w:szCs w:val="44"/>
        </w:rPr>
        <w:t xml:space="preserve"> - </w:t>
      </w:r>
      <w:proofErr w:type="spellStart"/>
      <w:r w:rsidRPr="006C3918">
        <w:rPr>
          <w:rFonts w:asciiTheme="majorHAnsi" w:hAnsiTheme="majorHAnsi"/>
          <w:color w:val="E36C0A" w:themeColor="accent6" w:themeShade="BF"/>
          <w:sz w:val="44"/>
          <w:szCs w:val="44"/>
        </w:rPr>
        <w:t>ΔNCLExclIBL</w:t>
      </w:r>
      <w:proofErr w:type="spellEnd"/>
      <w:r w:rsidRPr="006C3918">
        <w:rPr>
          <w:rFonts w:asciiTheme="majorHAnsi" w:hAnsiTheme="majorHAnsi"/>
          <w:color w:val="E36C0A" w:themeColor="accent6" w:themeShade="BF"/>
          <w:sz w:val="44"/>
          <w:szCs w:val="44"/>
        </w:rPr>
        <w:t xml:space="preserve"> + </w:t>
      </w:r>
      <w:proofErr w:type="spellStart"/>
      <w:r w:rsidRPr="006C3918">
        <w:rPr>
          <w:rFonts w:asciiTheme="majorHAnsi" w:hAnsiTheme="majorHAnsi"/>
          <w:color w:val="E36C0A" w:themeColor="accent6" w:themeShade="BF"/>
          <w:sz w:val="44"/>
          <w:szCs w:val="44"/>
        </w:rPr>
        <w:t>ΔNCAExclPPEAndIntangibles</w:t>
      </w:r>
      <w:proofErr w:type="spellEnd"/>
      <w:r w:rsidRPr="006C3918">
        <w:rPr>
          <w:rFonts w:asciiTheme="majorHAnsi" w:hAnsiTheme="majorHAnsi"/>
          <w:color w:val="E36C0A" w:themeColor="accent6" w:themeShade="BF"/>
          <w:sz w:val="44"/>
          <w:szCs w:val="44"/>
        </w:rPr>
        <w:t>)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r w:rsidRPr="005B64B4">
        <w:rPr>
          <w:rFonts w:asciiTheme="majorHAnsi" w:hAnsiTheme="majorHAnsi"/>
          <w:color w:val="0070C0"/>
          <w:sz w:val="44"/>
          <w:szCs w:val="44"/>
        </w:rPr>
        <w:t>- (</w:t>
      </w:r>
      <w:proofErr w:type="spellStart"/>
      <w:r w:rsidRPr="005B64B4">
        <w:rPr>
          <w:rFonts w:asciiTheme="majorHAnsi" w:hAnsiTheme="majorHAnsi"/>
          <w:color w:val="0070C0"/>
          <w:sz w:val="44"/>
          <w:szCs w:val="44"/>
        </w:rPr>
        <w:t>ΔPPEAndIntangibles</w:t>
      </w:r>
      <w:proofErr w:type="spellEnd"/>
      <w:r w:rsidRPr="005B64B4">
        <w:rPr>
          <w:rFonts w:asciiTheme="majorHAnsi" w:hAnsiTheme="majorHAnsi"/>
          <w:color w:val="0070C0"/>
          <w:sz w:val="44"/>
          <w:szCs w:val="44"/>
        </w:rPr>
        <w:t xml:space="preserve"> + </w:t>
      </w:r>
      <w:proofErr w:type="spellStart"/>
      <w:r w:rsidRPr="005B64B4">
        <w:rPr>
          <w:rFonts w:asciiTheme="majorHAnsi" w:hAnsiTheme="majorHAnsi"/>
          <w:color w:val="0070C0"/>
          <w:sz w:val="44"/>
          <w:szCs w:val="44"/>
        </w:rPr>
        <w:t>Depr</w:t>
      </w:r>
      <w:proofErr w:type="spellEnd"/>
      <w:r w:rsidRPr="005B64B4">
        <w:rPr>
          <w:rFonts w:asciiTheme="majorHAnsi" w:hAnsiTheme="majorHAnsi"/>
          <w:color w:val="0070C0"/>
          <w:sz w:val="44"/>
          <w:szCs w:val="44"/>
        </w:rPr>
        <w:t xml:space="preserve"> - </w:t>
      </w:r>
      <w:proofErr w:type="spellStart"/>
      <w:r w:rsidRPr="005B64B4">
        <w:rPr>
          <w:rFonts w:asciiTheme="majorHAnsi" w:hAnsiTheme="majorHAnsi"/>
          <w:color w:val="0070C0"/>
          <w:sz w:val="44"/>
          <w:szCs w:val="44"/>
        </w:rPr>
        <w:t>ΔReserves</w:t>
      </w:r>
      <w:proofErr w:type="spellEnd"/>
      <w:r w:rsidRPr="005B64B4">
        <w:rPr>
          <w:rFonts w:asciiTheme="majorHAnsi" w:hAnsiTheme="majorHAnsi"/>
          <w:color w:val="0070C0"/>
          <w:sz w:val="44"/>
          <w:szCs w:val="44"/>
        </w:rPr>
        <w:t>)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r w:rsidRPr="005B64B4">
        <w:rPr>
          <w:rFonts w:asciiTheme="majorHAnsi" w:hAnsiTheme="majorHAnsi"/>
          <w:color w:val="7030A0"/>
          <w:sz w:val="44"/>
          <w:szCs w:val="44"/>
        </w:rPr>
        <w:t xml:space="preserve">(ΔIBL + </w:t>
      </w:r>
      <w:proofErr w:type="spellStart"/>
      <w:r w:rsidRPr="005B64B4">
        <w:rPr>
          <w:rFonts w:asciiTheme="majorHAnsi" w:hAnsiTheme="majorHAnsi"/>
          <w:color w:val="7030A0"/>
          <w:sz w:val="44"/>
          <w:szCs w:val="44"/>
        </w:rPr>
        <w:t>ΔContributedEquity</w:t>
      </w:r>
      <w:proofErr w:type="spellEnd"/>
      <w:r w:rsidRPr="005B64B4">
        <w:rPr>
          <w:rFonts w:asciiTheme="majorHAnsi" w:hAnsiTheme="majorHAnsi"/>
          <w:color w:val="7030A0"/>
          <w:sz w:val="44"/>
          <w:szCs w:val="44"/>
        </w:rPr>
        <w:t xml:space="preserve"> - Dividends)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      </w:t>
      </w:r>
      <w:r w:rsidR="005B64B4">
        <w:rPr>
          <w:rFonts w:asciiTheme="majorHAnsi" w:hAnsiTheme="majorHAnsi"/>
          <w:color w:val="003366"/>
          <w:sz w:val="44"/>
          <w:szCs w:val="44"/>
        </w:rPr>
        <w:t xml:space="preserve">  </w:t>
      </w:r>
      <w:r w:rsidR="00574ACA">
        <w:rPr>
          <w:rFonts w:asciiTheme="majorHAnsi" w:hAnsiTheme="majorHAnsi"/>
          <w:color w:val="003366"/>
          <w:sz w:val="44"/>
          <w:szCs w:val="44"/>
        </w:rPr>
        <w:t xml:space="preserve"> </w:t>
      </w:r>
      <w:r w:rsidR="005B64B4">
        <w:rPr>
          <w:rFonts w:asciiTheme="majorHAnsi" w:hAnsiTheme="majorHAnsi"/>
          <w:color w:val="003366"/>
          <w:sz w:val="44"/>
          <w:szCs w:val="44"/>
        </w:rPr>
        <w:t xml:space="preserve">   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6C3918">
        <w:rPr>
          <w:rFonts w:asciiTheme="majorHAnsi" w:hAnsiTheme="majorHAnsi"/>
          <w:color w:val="E36C0A" w:themeColor="accent6" w:themeShade="BF"/>
          <w:sz w:val="44"/>
          <w:szCs w:val="44"/>
        </w:rPr>
        <w:t>OperatingCashflows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5B64B4">
        <w:rPr>
          <w:rFonts w:asciiTheme="majorHAnsi" w:hAnsiTheme="majorHAnsi"/>
          <w:color w:val="0070C0"/>
          <w:sz w:val="44"/>
          <w:szCs w:val="44"/>
        </w:rPr>
        <w:t>InvestingCashflows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5B64B4">
        <w:rPr>
          <w:rFonts w:asciiTheme="majorHAnsi" w:hAnsiTheme="majorHAnsi"/>
          <w:color w:val="7030A0"/>
          <w:sz w:val="44"/>
          <w:szCs w:val="44"/>
        </w:rPr>
        <w:t>FinancingCashflows</w:t>
      </w:r>
      <w:proofErr w:type="spellEnd"/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>Where:</w:t>
      </w:r>
      <w:bookmarkStart w:id="0" w:name="_GoBack"/>
      <w:bookmarkEnd w:id="0"/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OperatingCashflows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NetIncome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ΔCAExclCash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ΔNCAExclPPEAndIntangibles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)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                   </w:t>
      </w:r>
      <w:r w:rsidR="005B64B4">
        <w:rPr>
          <w:rFonts w:asciiTheme="majorHAnsi" w:hAnsiTheme="majorHAnsi"/>
          <w:color w:val="003366"/>
          <w:sz w:val="44"/>
          <w:szCs w:val="44"/>
        </w:rPr>
        <w:t xml:space="preserve">                   </w:t>
      </w:r>
      <w:r w:rsidR="00574ACA">
        <w:rPr>
          <w:rFonts w:asciiTheme="majorHAnsi" w:hAnsiTheme="majorHAnsi"/>
          <w:color w:val="003366"/>
          <w:sz w:val="44"/>
          <w:szCs w:val="44"/>
        </w:rPr>
        <w:t xml:space="preserve"> </w:t>
      </w:r>
      <w:r w:rsidR="005B64B4">
        <w:rPr>
          <w:rFonts w:asciiTheme="majorHAnsi" w:hAnsiTheme="majorHAnsi"/>
          <w:color w:val="003366"/>
          <w:sz w:val="44"/>
          <w:szCs w:val="44"/>
        </w:rPr>
        <w:t xml:space="preserve">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NetIncome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r w:rsidR="008056EE" w:rsidRPr="00E343ED">
        <w:rPr>
          <w:rFonts w:asciiTheme="majorHAnsi" w:hAnsiTheme="majorHAnsi"/>
          <w:color w:val="003366"/>
          <w:sz w:val="44"/>
          <w:szCs w:val="44"/>
        </w:rPr>
        <w:t>Δ</w:t>
      </w:r>
      <w:r w:rsidRPr="00E343ED">
        <w:rPr>
          <w:rFonts w:asciiTheme="majorHAnsi" w:hAnsiTheme="majorHAnsi"/>
          <w:color w:val="003366"/>
          <w:sz w:val="44"/>
          <w:szCs w:val="44"/>
        </w:rPr>
        <w:t>NOWC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lastRenderedPageBreak/>
        <w:t>InvestingCashflows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= -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)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                  </w:t>
      </w:r>
      <w:r w:rsidR="005B64B4">
        <w:rPr>
          <w:rFonts w:asciiTheme="majorHAnsi" w:hAnsiTheme="majorHAnsi"/>
          <w:color w:val="003366"/>
          <w:sz w:val="44"/>
          <w:szCs w:val="44"/>
        </w:rPr>
        <w:t xml:space="preserve">                   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=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CapEx</w:t>
      </w:r>
      <w:proofErr w:type="spellEnd"/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FinancingCashflows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= ΔIBL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ΔContributedEquity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Dividends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                 </w:t>
      </w:r>
      <w:r w:rsidR="005B64B4">
        <w:rPr>
          <w:rFonts w:asciiTheme="majorHAnsi" w:hAnsiTheme="majorHAnsi"/>
          <w:color w:val="003366"/>
          <w:sz w:val="44"/>
          <w:szCs w:val="44"/>
        </w:rPr>
        <w:t xml:space="preserve">                   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r w:rsidR="00574ACA">
        <w:rPr>
          <w:rFonts w:asciiTheme="majorHAnsi" w:hAnsiTheme="majorHAnsi"/>
          <w:color w:val="003366"/>
          <w:sz w:val="44"/>
          <w:szCs w:val="44"/>
        </w:rPr>
        <w:t xml:space="preserve">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= ΔIBL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EquityRaisings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Buybacks - Dividends</w:t>
      </w:r>
    </w:p>
    <w:p w:rsidR="00E343ED" w:rsidRDefault="00301256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>Notes</w:t>
      </w:r>
      <w:r w:rsidR="00E343ED" w:rsidRPr="00E343ED">
        <w:rPr>
          <w:rFonts w:asciiTheme="majorHAnsi" w:hAnsiTheme="majorHAnsi"/>
          <w:color w:val="003366"/>
          <w:sz w:val="44"/>
          <w:szCs w:val="44"/>
        </w:rPr>
        <w:t>:</w:t>
      </w:r>
    </w:p>
    <w:p w:rsidR="00C2324C" w:rsidRPr="00E343ED" w:rsidRDefault="00C2324C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proofErr w:type="spellStart"/>
      <w:r w:rsidRPr="00C2324C"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 is assumed to be the increase in asset revaluation reserves. </w:t>
      </w:r>
      <w:r w:rsidR="001819BD">
        <w:rPr>
          <w:rFonts w:asciiTheme="majorHAnsi" w:hAnsiTheme="majorHAnsi"/>
          <w:color w:val="003366"/>
          <w:sz w:val="44"/>
          <w:szCs w:val="44"/>
        </w:rPr>
        <w:t xml:space="preserve">Other types of reserves such as ‘foreign currency translation reserves’ are not addressed in these formulas. However, the </w:t>
      </w:r>
      <w:r w:rsidR="001819BD" w:rsidRPr="00301256">
        <w:rPr>
          <w:rFonts w:asciiTheme="majorHAnsi" w:hAnsiTheme="majorHAnsi"/>
          <w:i/>
          <w:color w:val="003366"/>
          <w:sz w:val="44"/>
          <w:szCs w:val="44"/>
        </w:rPr>
        <w:t>forecast</w:t>
      </w:r>
      <w:r w:rsidR="001819BD">
        <w:rPr>
          <w:rFonts w:asciiTheme="majorHAnsi" w:hAnsiTheme="majorHAnsi"/>
          <w:color w:val="003366"/>
          <w:sz w:val="44"/>
          <w:szCs w:val="44"/>
        </w:rPr>
        <w:t xml:space="preserve"> increase in </w:t>
      </w:r>
      <w:r w:rsidR="001819BD">
        <w:rPr>
          <w:rFonts w:asciiTheme="majorHAnsi" w:hAnsiTheme="majorHAnsi"/>
          <w:color w:val="003366"/>
          <w:sz w:val="44"/>
          <w:szCs w:val="44"/>
        </w:rPr>
        <w:t>foreign currency translation reserves</w:t>
      </w:r>
      <w:r w:rsidR="001819BD">
        <w:rPr>
          <w:rFonts w:asciiTheme="majorHAnsi" w:hAnsiTheme="majorHAnsi"/>
          <w:color w:val="003366"/>
          <w:sz w:val="44"/>
          <w:szCs w:val="44"/>
        </w:rPr>
        <w:t xml:space="preserve"> would normally be expected to be zero since significant foreign exchange rate changes are difficult to predict in an efficient market. </w:t>
      </w:r>
    </w:p>
    <w:p w:rsidR="00301256" w:rsidRDefault="00301256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br w:type="page"/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lastRenderedPageBreak/>
        <w:t xml:space="preserve">ΔIBL 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DebtNow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DebtBefore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, where Debt is the same as interest bearing liabilities (IBL).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DebtBefore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*(1+rD</w:t>
      </w:r>
      <w:proofErr w:type="gramStart"/>
      <w:r w:rsidRPr="00E343ED">
        <w:rPr>
          <w:rFonts w:asciiTheme="majorHAnsi" w:hAnsiTheme="majorHAnsi"/>
          <w:color w:val="003366"/>
          <w:sz w:val="44"/>
          <w:szCs w:val="44"/>
        </w:rPr>
        <w:t>)^</w:t>
      </w:r>
      <w:proofErr w:type="gramEnd"/>
      <w:r w:rsidRPr="00E343ED">
        <w:rPr>
          <w:rFonts w:asciiTheme="majorHAnsi" w:hAnsiTheme="majorHAnsi"/>
          <w:color w:val="003366"/>
          <w:sz w:val="44"/>
          <w:szCs w:val="44"/>
        </w:rPr>
        <w:t xml:space="preserve">1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DebtRaisings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DebtRepayments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DebtBefore</w:t>
      </w:r>
      <w:proofErr w:type="spellEnd"/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DebtBefore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DebtBefore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*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rD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DebtRaisings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DebtCouponAndPrincipalPayments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DebtBefore</w:t>
      </w:r>
      <w:proofErr w:type="spellEnd"/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DebtBefore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*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rD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DebtRaisings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DebtCouponAndPrincipalPayments</w:t>
      </w:r>
      <w:proofErr w:type="spellEnd"/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IntExp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DebtCashFlowToDebtHolders</w:t>
      </w:r>
      <w:proofErr w:type="spellEnd"/>
    </w:p>
    <w:p w:rsidR="004E4EF9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>Where</w:t>
      </w:r>
      <w:r w:rsidR="004E4EF9">
        <w:rPr>
          <w:rFonts w:asciiTheme="majorHAnsi" w:hAnsiTheme="majorHAnsi"/>
          <w:color w:val="003366"/>
          <w:sz w:val="44"/>
          <w:szCs w:val="44"/>
        </w:rPr>
        <w:t>: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DebtCashFlowToDebtHolders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= </w:t>
      </w:r>
      <w:proofErr w:type="spellStart"/>
      <w:r w:rsidR="004E4EF9">
        <w:rPr>
          <w:rFonts w:asciiTheme="majorHAnsi" w:hAnsiTheme="majorHAnsi"/>
          <w:color w:val="003366"/>
          <w:sz w:val="44"/>
          <w:szCs w:val="44"/>
        </w:rPr>
        <w:t>D</w:t>
      </w:r>
      <w:r w:rsidRPr="00E343ED">
        <w:rPr>
          <w:rFonts w:asciiTheme="majorHAnsi" w:hAnsiTheme="majorHAnsi"/>
          <w:color w:val="003366"/>
          <w:sz w:val="44"/>
          <w:szCs w:val="44"/>
        </w:rPr>
        <w:t>ebtCouponAndPrincipalPayments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DebtRaisings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Note that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IntExp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is an accrual and is defined by accountants as Debt0*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rD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rD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is yield to maturity), it's not necessarily a cash flow paid to anyone. For example, zero coupon bonds incur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IntExp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yet pay no coupon.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</w:p>
    <w:p w:rsidR="004E4EF9" w:rsidRDefault="004E4EF9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br w:type="page"/>
      </w:r>
    </w:p>
    <w:p w:rsidR="004E4EF9" w:rsidRDefault="004E4EF9" w:rsidP="004E4EF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FFCF = </w:t>
      </w:r>
      <w:proofErr w:type="spellStart"/>
      <w:r>
        <w:rPr>
          <w:rFonts w:asciiTheme="majorHAnsi" w:hAnsiTheme="majorHAnsi"/>
          <w:b/>
          <w:i/>
          <w:color w:val="800000"/>
          <w:sz w:val="72"/>
          <w:szCs w:val="72"/>
        </w:rPr>
        <w:t>DebtCF</w:t>
      </w:r>
      <w:proofErr w:type="spellEnd"/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+ EFCF</w:t>
      </w:r>
    </w:p>
    <w:p w:rsidR="008A216E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Remember that equity free cash flow </w:t>
      </w:r>
      <w:r w:rsidR="009124E0">
        <w:rPr>
          <w:rFonts w:asciiTheme="majorHAnsi" w:hAnsiTheme="majorHAnsi"/>
          <w:color w:val="003366"/>
          <w:sz w:val="44"/>
          <w:szCs w:val="44"/>
        </w:rPr>
        <w:t>equals:</w:t>
      </w:r>
    </w:p>
    <w:p w:rsidR="008A216E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>EFCF = -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EquityRaisings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Buybacks + Dividends </w:t>
      </w:r>
    </w:p>
    <w:p w:rsidR="00E343ED" w:rsidRPr="00E343ED" w:rsidRDefault="008A216E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           </w:t>
      </w:r>
      <w:r w:rsidR="00E343ED" w:rsidRPr="00E343ED">
        <w:rPr>
          <w:rFonts w:asciiTheme="majorHAnsi" w:hAnsiTheme="majorHAnsi"/>
          <w:color w:val="003366"/>
          <w:sz w:val="44"/>
          <w:szCs w:val="44"/>
        </w:rPr>
        <w:t>= -</w:t>
      </w:r>
      <w:proofErr w:type="spellStart"/>
      <w:r w:rsidR="00E343ED" w:rsidRPr="00E343ED">
        <w:rPr>
          <w:rFonts w:asciiTheme="majorHAnsi" w:hAnsiTheme="majorHAnsi"/>
          <w:color w:val="003366"/>
          <w:sz w:val="44"/>
          <w:szCs w:val="44"/>
        </w:rPr>
        <w:t>ΔContributedEquity</w:t>
      </w:r>
      <w:proofErr w:type="spellEnd"/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 + Dividends</w:t>
      </w:r>
    </w:p>
    <w:p w:rsidR="00E343ED" w:rsidRP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Substitute </w:t>
      </w:r>
      <w:r w:rsidR="00EE40C1">
        <w:rPr>
          <w:rFonts w:asciiTheme="majorHAnsi" w:hAnsiTheme="majorHAnsi"/>
          <w:color w:val="003366"/>
          <w:sz w:val="44"/>
          <w:szCs w:val="44"/>
        </w:rPr>
        <w:t xml:space="preserve">this </w:t>
      </w:r>
      <w:r w:rsidR="00EE40C1" w:rsidRPr="00E343ED">
        <w:rPr>
          <w:rFonts w:asciiTheme="majorHAnsi" w:hAnsiTheme="majorHAnsi"/>
          <w:color w:val="003366"/>
          <w:sz w:val="44"/>
          <w:szCs w:val="44"/>
        </w:rPr>
        <w:t xml:space="preserve">EFCF </w:t>
      </w:r>
      <w:r w:rsidR="00EE40C1">
        <w:rPr>
          <w:rFonts w:asciiTheme="majorHAnsi" w:hAnsiTheme="majorHAnsi"/>
          <w:color w:val="003366"/>
          <w:sz w:val="44"/>
          <w:szCs w:val="44"/>
        </w:rPr>
        <w:t xml:space="preserve">and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ΔIBL into the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formula and re-arrange into the form firm free cash flow</w:t>
      </w:r>
      <w:r w:rsidR="00EE40C1">
        <w:rPr>
          <w:rFonts w:asciiTheme="majorHAnsi" w:hAnsiTheme="majorHAnsi"/>
          <w:color w:val="003366"/>
          <w:sz w:val="44"/>
          <w:szCs w:val="44"/>
        </w:rPr>
        <w:t>,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FFCF = </w:t>
      </w:r>
      <w:proofErr w:type="spellStart"/>
      <w:r w:rsidR="008A216E">
        <w:rPr>
          <w:rFonts w:asciiTheme="majorHAnsi" w:hAnsiTheme="majorHAnsi"/>
          <w:color w:val="003366"/>
          <w:sz w:val="44"/>
          <w:szCs w:val="44"/>
        </w:rPr>
        <w:t>D</w:t>
      </w:r>
      <w:r w:rsidRPr="00E343ED">
        <w:rPr>
          <w:rFonts w:asciiTheme="majorHAnsi" w:hAnsiTheme="majorHAnsi"/>
          <w:color w:val="003366"/>
          <w:sz w:val="44"/>
          <w:szCs w:val="44"/>
        </w:rPr>
        <w:t>ebtCas</w:t>
      </w:r>
      <w:r w:rsidR="008A216E">
        <w:rPr>
          <w:rFonts w:asciiTheme="majorHAnsi" w:hAnsiTheme="majorHAnsi"/>
          <w:color w:val="003366"/>
          <w:sz w:val="44"/>
          <w:szCs w:val="44"/>
        </w:rPr>
        <w:t>hFlowToDebtHolders</w:t>
      </w:r>
      <w:proofErr w:type="spellEnd"/>
      <w:r w:rsidR="008A216E">
        <w:rPr>
          <w:rFonts w:asciiTheme="majorHAnsi" w:hAnsiTheme="majorHAnsi"/>
          <w:color w:val="003366"/>
          <w:sz w:val="44"/>
          <w:szCs w:val="44"/>
        </w:rPr>
        <w:t xml:space="preserve"> + EFCF</w:t>
      </w:r>
      <w:r w:rsidR="00833F35">
        <w:rPr>
          <w:rFonts w:asciiTheme="majorHAnsi" w:hAnsiTheme="majorHAnsi"/>
          <w:color w:val="003366"/>
          <w:sz w:val="44"/>
          <w:szCs w:val="44"/>
        </w:rPr>
        <w:t>:</w:t>
      </w:r>
    </w:p>
    <w:p w:rsidR="00E343ED" w:rsidRDefault="00E343ED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NetIncome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ΔCAExclCash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ΔNCAExclPPEAndIntangibles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) -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)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IntExp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DebtCashFlowToDebtHolders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r w:rsidR="004B768A">
        <w:rPr>
          <w:rFonts w:asciiTheme="majorHAnsi" w:hAnsiTheme="majorHAnsi"/>
          <w:color w:val="003366"/>
          <w:sz w:val="44"/>
          <w:szCs w:val="44"/>
        </w:rPr>
        <w:t>–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EFCF</w:t>
      </w:r>
    </w:p>
    <w:p w:rsidR="004E4EF9" w:rsidRDefault="004B768A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>FFCF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r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="00E343ED" w:rsidRPr="00E343ED">
        <w:rPr>
          <w:rFonts w:asciiTheme="majorHAnsi" w:hAnsiTheme="majorHAnsi"/>
          <w:color w:val="003366"/>
          <w:sz w:val="44"/>
          <w:szCs w:val="44"/>
        </w:rPr>
        <w:t>DebtCashFlowToDebtHolders</w:t>
      </w:r>
      <w:proofErr w:type="spellEnd"/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 + EFCF </w:t>
      </w:r>
    </w:p>
    <w:p w:rsidR="002562EC" w:rsidRDefault="004E4EF9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           </w:t>
      </w:r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="00E343ED" w:rsidRPr="00E343ED">
        <w:rPr>
          <w:rFonts w:asciiTheme="majorHAnsi" w:hAnsiTheme="majorHAnsi"/>
          <w:color w:val="003366"/>
          <w:sz w:val="44"/>
          <w:szCs w:val="44"/>
        </w:rPr>
        <w:t>NetIncome</w:t>
      </w:r>
      <w:proofErr w:type="spellEnd"/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="00E343ED"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 - (</w:t>
      </w:r>
      <w:proofErr w:type="spellStart"/>
      <w:r w:rsidR="00E343ED" w:rsidRPr="00E343ED">
        <w:rPr>
          <w:rFonts w:asciiTheme="majorHAnsi" w:hAnsiTheme="majorHAnsi"/>
          <w:color w:val="003366"/>
          <w:sz w:val="44"/>
          <w:szCs w:val="44"/>
        </w:rPr>
        <w:t>ΔCAExclCash</w:t>
      </w:r>
      <w:proofErr w:type="spellEnd"/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="00E343ED" w:rsidRPr="00E343ED">
        <w:rPr>
          <w:rFonts w:asciiTheme="majorHAnsi" w:hAnsiTheme="majorHAnsi"/>
          <w:color w:val="003366"/>
          <w:sz w:val="44"/>
          <w:szCs w:val="44"/>
        </w:rPr>
        <w:t>ΔCLExclIBL</w:t>
      </w:r>
      <w:proofErr w:type="spellEnd"/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="00E343ED" w:rsidRPr="00E343ED">
        <w:rPr>
          <w:rFonts w:asciiTheme="majorHAnsi" w:hAnsiTheme="majorHAnsi"/>
          <w:color w:val="003366"/>
          <w:sz w:val="44"/>
          <w:szCs w:val="44"/>
        </w:rPr>
        <w:t>ΔNCLExclIBL</w:t>
      </w:r>
      <w:proofErr w:type="spellEnd"/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="00E343ED" w:rsidRPr="00E343ED">
        <w:rPr>
          <w:rFonts w:asciiTheme="majorHAnsi" w:hAnsiTheme="majorHAnsi"/>
          <w:color w:val="003366"/>
          <w:sz w:val="44"/>
          <w:szCs w:val="44"/>
        </w:rPr>
        <w:t>ΔNCAExclPPEAndIntangibles</w:t>
      </w:r>
      <w:proofErr w:type="spellEnd"/>
      <w:r w:rsidR="00E343ED" w:rsidRPr="00E343ED">
        <w:rPr>
          <w:rFonts w:asciiTheme="majorHAnsi" w:hAnsiTheme="majorHAnsi"/>
          <w:color w:val="003366"/>
          <w:sz w:val="44"/>
          <w:szCs w:val="44"/>
        </w:rPr>
        <w:t>) - (</w:t>
      </w:r>
      <w:proofErr w:type="spellStart"/>
      <w:r w:rsidR="00E343ED" w:rsidRPr="00E343ED">
        <w:rPr>
          <w:rFonts w:asciiTheme="majorHAnsi" w:hAnsiTheme="majorHAnsi"/>
          <w:color w:val="003366"/>
          <w:sz w:val="44"/>
          <w:szCs w:val="44"/>
        </w:rPr>
        <w:t>ΔPPEAndIntangibles</w:t>
      </w:r>
      <w:proofErr w:type="spellEnd"/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="00E343ED"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="00E343ED" w:rsidRPr="00E343ED"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) + </w:t>
      </w:r>
      <w:proofErr w:type="spellStart"/>
      <w:r w:rsidR="00E343ED" w:rsidRPr="00E343ED">
        <w:rPr>
          <w:rFonts w:asciiTheme="majorHAnsi" w:hAnsiTheme="majorHAnsi"/>
          <w:color w:val="003366"/>
          <w:sz w:val="44"/>
          <w:szCs w:val="44"/>
        </w:rPr>
        <w:t>IntExp</w:t>
      </w:r>
      <w:proofErr w:type="spellEnd"/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r w:rsidR="0028010D">
        <w:rPr>
          <w:rFonts w:asciiTheme="majorHAnsi" w:hAnsiTheme="majorHAnsi"/>
          <w:color w:val="003366"/>
          <w:sz w:val="44"/>
          <w:szCs w:val="44"/>
        </w:rPr>
        <w:t>-</w:t>
      </w:r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proofErr w:type="spellStart"/>
      <w:r w:rsidR="00E343ED" w:rsidRPr="00E343ED">
        <w:rPr>
          <w:rFonts w:asciiTheme="majorHAnsi" w:hAnsiTheme="majorHAnsi"/>
          <w:color w:val="003366"/>
          <w:sz w:val="44"/>
          <w:szCs w:val="44"/>
        </w:rPr>
        <w:t>ΔCash</w:t>
      </w:r>
      <w:proofErr w:type="spellEnd"/>
      <w:r w:rsidR="00E343ED"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</w:p>
    <w:p w:rsidR="002562EC" w:rsidRDefault="002562EC" w:rsidP="002562E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proofErr w:type="spellStart"/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ΔCash</w:t>
      </w:r>
      <w:proofErr w:type="spellEnd"/>
      <w:r w:rsidR="00BE6581">
        <w:rPr>
          <w:rFonts w:asciiTheme="majorHAnsi" w:hAnsiTheme="majorHAnsi"/>
          <w:b/>
          <w:i/>
          <w:color w:val="800000"/>
          <w:sz w:val="72"/>
          <w:szCs w:val="72"/>
        </w:rPr>
        <w:t>: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Add to </w:t>
      </w:r>
      <w:r w:rsidRPr="002562EC">
        <w:rPr>
          <w:rFonts w:asciiTheme="majorHAnsi" w:hAnsiTheme="majorHAnsi"/>
          <w:b/>
          <w:i/>
          <w:color w:val="800000"/>
          <w:sz w:val="72"/>
          <w:szCs w:val="72"/>
        </w:rPr>
        <w:t>Δ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NWC</w:t>
      </w:r>
      <w:r w:rsidRPr="002562EC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or </w:t>
      </w:r>
      <w:proofErr w:type="spellStart"/>
      <w:r>
        <w:rPr>
          <w:rFonts w:asciiTheme="majorHAnsi" w:hAnsiTheme="majorHAnsi"/>
          <w:b/>
          <w:i/>
          <w:color w:val="800000"/>
          <w:sz w:val="72"/>
          <w:szCs w:val="72"/>
        </w:rPr>
        <w:t>DebtCashFlowToDebtHolders</w:t>
      </w:r>
      <w:proofErr w:type="spellEnd"/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? </w:t>
      </w:r>
    </w:p>
    <w:p w:rsidR="00BE6581" w:rsidRDefault="00BE6581" w:rsidP="00BE6581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FFCF </w:t>
      </w:r>
      <w:r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DebtCashFlowToDebtHolders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EFCF </w:t>
      </w:r>
    </w:p>
    <w:p w:rsidR="00BE6581" w:rsidRDefault="00BE6581" w:rsidP="00BE6581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          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NetIncome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ΔCAExclCash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ΔNCAExclPPEAndIntangibles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) -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)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IntExp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r>
        <w:rPr>
          <w:rFonts w:asciiTheme="majorHAnsi" w:hAnsiTheme="majorHAnsi"/>
          <w:color w:val="003366"/>
          <w:sz w:val="44"/>
          <w:szCs w:val="44"/>
        </w:rPr>
        <w:t>-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proofErr w:type="spellStart"/>
      <w:r w:rsidRPr="00BE6581">
        <w:rPr>
          <w:rFonts w:asciiTheme="majorHAnsi" w:hAnsiTheme="majorHAnsi"/>
          <w:b/>
          <w:color w:val="003366"/>
          <w:sz w:val="44"/>
          <w:szCs w:val="44"/>
        </w:rPr>
        <w:t>ΔCash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</w:p>
    <w:p w:rsidR="00BE6581" w:rsidRDefault="00BE6581" w:rsidP="00264804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There’s two ways to think about the increase in the firm’s cash holdings since last year, </w:t>
      </w:r>
      <w:proofErr w:type="spellStart"/>
      <w:r w:rsidRPr="00BE6581">
        <w:rPr>
          <w:rFonts w:asciiTheme="majorHAnsi" w:hAnsiTheme="majorHAnsi"/>
          <w:b/>
          <w:color w:val="003366"/>
          <w:sz w:val="44"/>
          <w:szCs w:val="44"/>
        </w:rPr>
        <w:t>ΔCash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. </w:t>
      </w:r>
      <w:r w:rsidR="00264804">
        <w:rPr>
          <w:rFonts w:asciiTheme="majorHAnsi" w:hAnsiTheme="majorHAnsi"/>
          <w:color w:val="003366"/>
          <w:sz w:val="44"/>
          <w:szCs w:val="44"/>
        </w:rPr>
        <w:t xml:space="preserve">You can </w:t>
      </w:r>
      <w:r w:rsidR="00264804" w:rsidRPr="00BE6581">
        <w:rPr>
          <w:rFonts w:asciiTheme="majorHAnsi" w:hAnsiTheme="majorHAnsi"/>
          <w:color w:val="003366"/>
          <w:sz w:val="44"/>
          <w:szCs w:val="44"/>
        </w:rPr>
        <w:t xml:space="preserve">add </w:t>
      </w:r>
      <w:r w:rsidRPr="00BE6581">
        <w:rPr>
          <w:rFonts w:asciiTheme="majorHAnsi" w:hAnsiTheme="majorHAnsi"/>
          <w:color w:val="003366"/>
          <w:sz w:val="44"/>
          <w:szCs w:val="44"/>
        </w:rPr>
        <w:t xml:space="preserve">it </w:t>
      </w:r>
      <w:r w:rsidR="00264804" w:rsidRPr="00BE6581">
        <w:rPr>
          <w:rFonts w:asciiTheme="majorHAnsi" w:hAnsiTheme="majorHAnsi"/>
          <w:color w:val="003366"/>
          <w:sz w:val="44"/>
          <w:szCs w:val="44"/>
        </w:rPr>
        <w:t>to</w:t>
      </w:r>
      <w:r w:rsidRPr="00BE6581">
        <w:rPr>
          <w:rFonts w:asciiTheme="majorHAnsi" w:hAnsiTheme="majorHAnsi"/>
          <w:color w:val="003366"/>
          <w:sz w:val="44"/>
          <w:szCs w:val="44"/>
        </w:rPr>
        <w:t xml:space="preserve"> the</w:t>
      </w:r>
      <w:r>
        <w:rPr>
          <w:rFonts w:asciiTheme="majorHAnsi" w:hAnsiTheme="majorHAnsi"/>
          <w:color w:val="003366"/>
          <w:sz w:val="44"/>
          <w:szCs w:val="44"/>
        </w:rPr>
        <w:t>:</w:t>
      </w:r>
    </w:p>
    <w:p w:rsidR="00264804" w:rsidRPr="0098750D" w:rsidRDefault="00BE6581" w:rsidP="0098750D">
      <w:pPr>
        <w:pStyle w:val="ListParagraph"/>
        <w:numPr>
          <w:ilvl w:val="0"/>
          <w:numId w:val="18"/>
        </w:num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98750D">
        <w:rPr>
          <w:rFonts w:asciiTheme="majorHAnsi" w:hAnsiTheme="majorHAnsi"/>
          <w:color w:val="003366"/>
          <w:sz w:val="44"/>
          <w:szCs w:val="44"/>
        </w:rPr>
        <w:t xml:space="preserve">Increase in </w:t>
      </w:r>
      <w:r w:rsidR="00264804" w:rsidRPr="0098750D">
        <w:rPr>
          <w:rFonts w:asciiTheme="majorHAnsi" w:hAnsiTheme="majorHAnsi"/>
          <w:color w:val="003366"/>
          <w:sz w:val="44"/>
          <w:szCs w:val="44"/>
        </w:rPr>
        <w:t xml:space="preserve">Net </w:t>
      </w:r>
      <w:r w:rsidRPr="0098750D">
        <w:rPr>
          <w:rFonts w:asciiTheme="majorHAnsi" w:hAnsiTheme="majorHAnsi"/>
          <w:color w:val="003366"/>
          <w:sz w:val="44"/>
          <w:szCs w:val="44"/>
        </w:rPr>
        <w:t>W</w:t>
      </w:r>
      <w:r w:rsidR="00264804" w:rsidRPr="0098750D">
        <w:rPr>
          <w:rFonts w:asciiTheme="majorHAnsi" w:hAnsiTheme="majorHAnsi"/>
          <w:color w:val="003366"/>
          <w:sz w:val="44"/>
          <w:szCs w:val="44"/>
        </w:rPr>
        <w:t xml:space="preserve">orking </w:t>
      </w:r>
      <w:r w:rsidRPr="0098750D">
        <w:rPr>
          <w:rFonts w:asciiTheme="majorHAnsi" w:hAnsiTheme="majorHAnsi"/>
          <w:color w:val="003366"/>
          <w:sz w:val="44"/>
          <w:szCs w:val="44"/>
        </w:rPr>
        <w:t>C</w:t>
      </w:r>
      <w:r w:rsidR="00264804" w:rsidRPr="0098750D">
        <w:rPr>
          <w:rFonts w:asciiTheme="majorHAnsi" w:hAnsiTheme="majorHAnsi"/>
          <w:color w:val="003366"/>
          <w:sz w:val="44"/>
          <w:szCs w:val="44"/>
        </w:rPr>
        <w:t xml:space="preserve">apital </w:t>
      </w:r>
      <w:r w:rsidRPr="0098750D">
        <w:rPr>
          <w:rFonts w:asciiTheme="majorHAnsi" w:hAnsiTheme="majorHAnsi"/>
          <w:color w:val="003366"/>
          <w:sz w:val="44"/>
          <w:szCs w:val="44"/>
        </w:rPr>
        <w:t>(</w:t>
      </w:r>
      <w:r w:rsidRPr="0098750D">
        <w:rPr>
          <w:rFonts w:asciiTheme="majorHAnsi" w:hAnsiTheme="majorHAnsi"/>
          <w:color w:val="003366"/>
          <w:sz w:val="44"/>
          <w:szCs w:val="44"/>
        </w:rPr>
        <w:t>Δ</w:t>
      </w:r>
      <w:r w:rsidRPr="0098750D">
        <w:rPr>
          <w:rFonts w:asciiTheme="majorHAnsi" w:hAnsiTheme="majorHAnsi"/>
          <w:color w:val="003366"/>
          <w:sz w:val="44"/>
          <w:szCs w:val="44"/>
        </w:rPr>
        <w:t xml:space="preserve">NWC) </w:t>
      </w:r>
      <w:r w:rsidR="00264804" w:rsidRPr="0098750D">
        <w:rPr>
          <w:rFonts w:asciiTheme="majorHAnsi" w:hAnsiTheme="majorHAnsi"/>
          <w:color w:val="003366"/>
          <w:sz w:val="44"/>
          <w:szCs w:val="44"/>
        </w:rPr>
        <w:t>if you think t</w:t>
      </w:r>
      <w:r w:rsidR="002562EC" w:rsidRPr="0098750D">
        <w:rPr>
          <w:rFonts w:asciiTheme="majorHAnsi" w:hAnsiTheme="majorHAnsi"/>
          <w:color w:val="003366"/>
          <w:sz w:val="44"/>
          <w:szCs w:val="44"/>
        </w:rPr>
        <w:t xml:space="preserve">he </w:t>
      </w:r>
      <w:r w:rsidR="00264804" w:rsidRPr="0098750D">
        <w:rPr>
          <w:rFonts w:asciiTheme="majorHAnsi" w:hAnsiTheme="majorHAnsi"/>
          <w:color w:val="003366"/>
          <w:sz w:val="44"/>
          <w:szCs w:val="44"/>
        </w:rPr>
        <w:t xml:space="preserve">extra </w:t>
      </w:r>
      <w:r w:rsidR="002562EC" w:rsidRPr="0098750D">
        <w:rPr>
          <w:rFonts w:asciiTheme="majorHAnsi" w:hAnsiTheme="majorHAnsi"/>
          <w:color w:val="003366"/>
          <w:sz w:val="44"/>
          <w:szCs w:val="44"/>
        </w:rPr>
        <w:t xml:space="preserve">cash </w:t>
      </w:r>
      <w:r w:rsidR="00264804" w:rsidRPr="0098750D">
        <w:rPr>
          <w:rFonts w:asciiTheme="majorHAnsi" w:hAnsiTheme="majorHAnsi"/>
          <w:color w:val="003366"/>
          <w:sz w:val="44"/>
          <w:szCs w:val="44"/>
        </w:rPr>
        <w:t xml:space="preserve">is </w:t>
      </w:r>
      <w:r w:rsidR="002562EC" w:rsidRPr="0098750D">
        <w:rPr>
          <w:rFonts w:asciiTheme="majorHAnsi" w:hAnsiTheme="majorHAnsi"/>
          <w:color w:val="003366"/>
          <w:sz w:val="44"/>
          <w:szCs w:val="44"/>
        </w:rPr>
        <w:t xml:space="preserve">needed </w:t>
      </w:r>
      <w:r w:rsidR="00264804" w:rsidRPr="0098750D">
        <w:rPr>
          <w:rFonts w:asciiTheme="majorHAnsi" w:hAnsiTheme="majorHAnsi"/>
          <w:color w:val="003366"/>
          <w:sz w:val="44"/>
          <w:szCs w:val="44"/>
        </w:rPr>
        <w:t>to keep the business solvent, for example, as an extra cash buffer to be able to pay employee wages and trade payables on time</w:t>
      </w:r>
      <w:r w:rsidR="0074018D">
        <w:rPr>
          <w:rFonts w:asciiTheme="majorHAnsi" w:hAnsiTheme="majorHAnsi"/>
          <w:color w:val="003366"/>
          <w:sz w:val="44"/>
          <w:szCs w:val="44"/>
        </w:rPr>
        <w:t xml:space="preserve">. Let’s call this </w:t>
      </w:r>
      <w:proofErr w:type="spellStart"/>
      <w:r w:rsidR="0074018D" w:rsidRPr="00B947F0">
        <w:rPr>
          <w:rFonts w:asciiTheme="majorHAnsi" w:hAnsiTheme="majorHAnsi"/>
          <w:b/>
          <w:color w:val="800000"/>
          <w:sz w:val="44"/>
          <w:szCs w:val="44"/>
        </w:rPr>
        <w:t>Δ</w:t>
      </w:r>
      <w:r w:rsidR="0074018D">
        <w:rPr>
          <w:rFonts w:asciiTheme="majorHAnsi" w:hAnsiTheme="majorHAnsi"/>
          <w:b/>
          <w:color w:val="800000"/>
          <w:sz w:val="44"/>
          <w:szCs w:val="44"/>
        </w:rPr>
        <w:t>C</w:t>
      </w:r>
      <w:r w:rsidR="0074018D" w:rsidRPr="00B947F0">
        <w:rPr>
          <w:rFonts w:asciiTheme="majorHAnsi" w:hAnsiTheme="majorHAnsi"/>
          <w:b/>
          <w:color w:val="800000"/>
          <w:sz w:val="44"/>
          <w:szCs w:val="44"/>
        </w:rPr>
        <w:t>ash</w:t>
      </w:r>
      <w:r w:rsidR="0074018D">
        <w:rPr>
          <w:rFonts w:asciiTheme="majorHAnsi" w:hAnsiTheme="majorHAnsi"/>
          <w:b/>
          <w:color w:val="800000"/>
          <w:sz w:val="44"/>
          <w:szCs w:val="44"/>
        </w:rPr>
        <w:t>ForBusinessSolvency</w:t>
      </w:r>
      <w:proofErr w:type="spellEnd"/>
      <w:r w:rsidRPr="0098750D">
        <w:rPr>
          <w:rFonts w:asciiTheme="majorHAnsi" w:hAnsiTheme="majorHAnsi"/>
          <w:color w:val="003366"/>
          <w:sz w:val="44"/>
          <w:szCs w:val="44"/>
        </w:rPr>
        <w:t>; or</w:t>
      </w:r>
    </w:p>
    <w:p w:rsidR="00D47E45" w:rsidRDefault="00BE6581" w:rsidP="0074018D">
      <w:pPr>
        <w:pStyle w:val="ListParagraph"/>
        <w:numPr>
          <w:ilvl w:val="0"/>
          <w:numId w:val="18"/>
        </w:num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proofErr w:type="spellStart"/>
      <w:r w:rsidRPr="0098750D">
        <w:rPr>
          <w:rFonts w:asciiTheme="majorHAnsi" w:hAnsiTheme="majorHAnsi"/>
          <w:color w:val="003366"/>
          <w:sz w:val="44"/>
          <w:szCs w:val="44"/>
        </w:rPr>
        <w:t>DebtCashFlowToDebtHolders</w:t>
      </w:r>
      <w:proofErr w:type="spellEnd"/>
      <w:r w:rsidRPr="0098750D">
        <w:rPr>
          <w:rFonts w:asciiTheme="majorHAnsi" w:hAnsiTheme="majorHAnsi"/>
          <w:color w:val="003366"/>
          <w:sz w:val="44"/>
          <w:szCs w:val="44"/>
        </w:rPr>
        <w:t xml:space="preserve"> (also called </w:t>
      </w:r>
      <w:proofErr w:type="spellStart"/>
      <w:r w:rsidRPr="0098750D">
        <w:rPr>
          <w:rFonts w:asciiTheme="majorHAnsi" w:hAnsiTheme="majorHAnsi"/>
          <w:color w:val="003366"/>
          <w:sz w:val="44"/>
          <w:szCs w:val="44"/>
        </w:rPr>
        <w:t>DebtCF</w:t>
      </w:r>
      <w:proofErr w:type="spellEnd"/>
      <w:r w:rsidRPr="0098750D">
        <w:rPr>
          <w:rFonts w:asciiTheme="majorHAnsi" w:hAnsiTheme="majorHAnsi"/>
          <w:color w:val="003366"/>
          <w:sz w:val="44"/>
          <w:szCs w:val="44"/>
        </w:rPr>
        <w:t xml:space="preserve">) since an increase in ‘cash at bank’ deposits is really lending to the bank, which is one of the </w:t>
      </w:r>
      <w:r w:rsidRPr="0098750D">
        <w:rPr>
          <w:rFonts w:asciiTheme="majorHAnsi" w:hAnsiTheme="majorHAnsi"/>
          <w:color w:val="003366"/>
          <w:sz w:val="44"/>
          <w:szCs w:val="44"/>
        </w:rPr>
        <w:lastRenderedPageBreak/>
        <w:t xml:space="preserve">firm’s debt-holders, hence why it’s a positive cash flow to the debt holder. A negative </w:t>
      </w:r>
      <w:proofErr w:type="spellStart"/>
      <w:r w:rsidRPr="0098750D">
        <w:rPr>
          <w:rFonts w:asciiTheme="majorHAnsi" w:hAnsiTheme="majorHAnsi"/>
          <w:color w:val="003366"/>
          <w:sz w:val="44"/>
          <w:szCs w:val="44"/>
        </w:rPr>
        <w:t>ΔCash</w:t>
      </w:r>
      <w:proofErr w:type="spellEnd"/>
      <w:r w:rsidRPr="0098750D">
        <w:rPr>
          <w:rFonts w:asciiTheme="majorHAnsi" w:hAnsiTheme="majorHAnsi"/>
          <w:color w:val="003366"/>
          <w:sz w:val="44"/>
          <w:szCs w:val="44"/>
        </w:rPr>
        <w:t xml:space="preserve"> would be a negative cash flow to the debt holder, the bank, which is equivalent to borrowing more or lending less.</w:t>
      </w:r>
      <w:r w:rsidR="0074018D">
        <w:rPr>
          <w:rFonts w:asciiTheme="majorHAnsi" w:hAnsiTheme="majorHAnsi"/>
          <w:color w:val="003366"/>
          <w:sz w:val="44"/>
          <w:szCs w:val="44"/>
        </w:rPr>
        <w:t xml:space="preserve"> </w:t>
      </w:r>
      <w:r w:rsidR="0074018D" w:rsidRPr="0074018D">
        <w:rPr>
          <w:rFonts w:asciiTheme="majorHAnsi" w:hAnsiTheme="majorHAnsi"/>
          <w:color w:val="003366"/>
          <w:sz w:val="44"/>
          <w:szCs w:val="44"/>
        </w:rPr>
        <w:t xml:space="preserve">Let’s call this amount </w:t>
      </w:r>
      <w:proofErr w:type="spellStart"/>
      <w:r w:rsidR="0074018D" w:rsidRPr="0074018D">
        <w:rPr>
          <w:rFonts w:asciiTheme="majorHAnsi" w:hAnsiTheme="majorHAnsi"/>
          <w:b/>
          <w:color w:val="800000"/>
          <w:sz w:val="44"/>
          <w:szCs w:val="44"/>
        </w:rPr>
        <w:t>ΔExcess</w:t>
      </w:r>
      <w:r w:rsidR="00801271">
        <w:rPr>
          <w:rFonts w:asciiTheme="majorHAnsi" w:hAnsiTheme="majorHAnsi"/>
          <w:b/>
          <w:color w:val="800000"/>
          <w:sz w:val="44"/>
          <w:szCs w:val="44"/>
        </w:rPr>
        <w:t>Cash</w:t>
      </w:r>
      <w:proofErr w:type="spellEnd"/>
      <w:r w:rsidR="00D47E45">
        <w:rPr>
          <w:rFonts w:asciiTheme="majorHAnsi" w:hAnsiTheme="majorHAnsi"/>
          <w:color w:val="003366"/>
          <w:sz w:val="44"/>
          <w:szCs w:val="44"/>
        </w:rPr>
        <w:t xml:space="preserve">, </w:t>
      </w:r>
      <w:r w:rsidR="0074018D">
        <w:rPr>
          <w:rFonts w:asciiTheme="majorHAnsi" w:hAnsiTheme="majorHAnsi"/>
          <w:color w:val="003366"/>
          <w:sz w:val="44"/>
          <w:szCs w:val="44"/>
        </w:rPr>
        <w:t xml:space="preserve">since ordinary non-financial firms’ core business is not lending to the bank, so any cash they have sitting in the bank in excess of what’s needed to stay solvent is </w:t>
      </w:r>
      <w:r w:rsidR="00D47E45">
        <w:rPr>
          <w:rFonts w:asciiTheme="majorHAnsi" w:hAnsiTheme="majorHAnsi"/>
          <w:color w:val="003366"/>
          <w:sz w:val="44"/>
          <w:szCs w:val="44"/>
        </w:rPr>
        <w:t xml:space="preserve">unnecessary and in </w:t>
      </w:r>
      <w:r w:rsidR="0074018D">
        <w:rPr>
          <w:rFonts w:asciiTheme="majorHAnsi" w:hAnsiTheme="majorHAnsi"/>
          <w:color w:val="003366"/>
          <w:sz w:val="44"/>
          <w:szCs w:val="44"/>
        </w:rPr>
        <w:t xml:space="preserve">excess of their requirements. </w:t>
      </w:r>
    </w:p>
    <w:p w:rsidR="00BE6581" w:rsidRPr="0074018D" w:rsidRDefault="0074018D" w:rsidP="00D47E45">
      <w:pPr>
        <w:pStyle w:val="ListParagraph"/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Some analysts even see this idle cash as wasteful, and advocate for it to be paid to debt or equity holders. For example, in 2014 activist investor </w:t>
      </w:r>
      <w:hyperlink r:id="rId8" w:history="1">
        <w:r w:rsidRPr="0074018D">
          <w:rPr>
            <w:rStyle w:val="Hyperlink"/>
            <w:rFonts w:asciiTheme="majorHAnsi" w:hAnsiTheme="majorHAnsi"/>
            <w:sz w:val="44"/>
            <w:szCs w:val="44"/>
          </w:rPr>
          <w:t>Carl Icahn</w:t>
        </w:r>
      </w:hyperlink>
      <w:r>
        <w:rPr>
          <w:rFonts w:asciiTheme="majorHAnsi" w:hAnsiTheme="majorHAnsi"/>
          <w:color w:val="003366"/>
          <w:sz w:val="44"/>
          <w:szCs w:val="44"/>
        </w:rPr>
        <w:t xml:space="preserve"> </w:t>
      </w:r>
      <w:r w:rsidR="00175D19">
        <w:rPr>
          <w:rFonts w:asciiTheme="majorHAnsi" w:hAnsiTheme="majorHAnsi"/>
          <w:color w:val="003366"/>
          <w:sz w:val="44"/>
          <w:szCs w:val="44"/>
        </w:rPr>
        <w:t xml:space="preserve">pressured </w:t>
      </w:r>
      <w:r>
        <w:rPr>
          <w:rFonts w:asciiTheme="majorHAnsi" w:hAnsiTheme="majorHAnsi"/>
          <w:color w:val="003366"/>
          <w:sz w:val="44"/>
          <w:szCs w:val="44"/>
        </w:rPr>
        <w:t>Apple</w:t>
      </w:r>
      <w:r w:rsidR="00175D19">
        <w:rPr>
          <w:rFonts w:asciiTheme="majorHAnsi" w:hAnsiTheme="majorHAnsi"/>
          <w:color w:val="003366"/>
          <w:sz w:val="44"/>
          <w:szCs w:val="44"/>
        </w:rPr>
        <w:t>’s CEO Tim Cook</w:t>
      </w:r>
      <w:r>
        <w:rPr>
          <w:rFonts w:asciiTheme="majorHAnsi" w:hAnsiTheme="majorHAnsi"/>
          <w:color w:val="003366"/>
          <w:sz w:val="44"/>
          <w:szCs w:val="44"/>
        </w:rPr>
        <w:t xml:space="preserve"> to distribute </w:t>
      </w:r>
      <w:proofErr w:type="spellStart"/>
      <w:proofErr w:type="gramStart"/>
      <w:r>
        <w:rPr>
          <w:rFonts w:asciiTheme="majorHAnsi" w:hAnsiTheme="majorHAnsi"/>
          <w:color w:val="003366"/>
          <w:sz w:val="44"/>
          <w:szCs w:val="44"/>
        </w:rPr>
        <w:t>it’s</w:t>
      </w:r>
      <w:proofErr w:type="spellEnd"/>
      <w:proofErr w:type="gramEnd"/>
      <w:r>
        <w:rPr>
          <w:rFonts w:asciiTheme="majorHAnsi" w:hAnsiTheme="majorHAnsi"/>
          <w:color w:val="003366"/>
          <w:sz w:val="44"/>
          <w:szCs w:val="44"/>
        </w:rPr>
        <w:t xml:space="preserve"> huge excess cash pile to shareholders via a share buyback.</w:t>
      </w:r>
    </w:p>
    <w:p w:rsidR="00801271" w:rsidRPr="00801271" w:rsidRDefault="00801271" w:rsidP="00BE6581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801271">
        <w:rPr>
          <w:rFonts w:asciiTheme="majorHAnsi" w:hAnsiTheme="majorHAnsi"/>
          <w:color w:val="003366"/>
          <w:sz w:val="44"/>
          <w:szCs w:val="44"/>
        </w:rPr>
        <w:t xml:space="preserve">Break </w:t>
      </w:r>
      <w:r>
        <w:rPr>
          <w:rFonts w:asciiTheme="majorHAnsi" w:hAnsiTheme="majorHAnsi"/>
          <w:color w:val="003366"/>
          <w:sz w:val="44"/>
          <w:szCs w:val="44"/>
        </w:rPr>
        <w:t xml:space="preserve">the increase in cash into </w:t>
      </w:r>
      <w:r w:rsidR="00AB75E7">
        <w:rPr>
          <w:rFonts w:asciiTheme="majorHAnsi" w:hAnsiTheme="majorHAnsi"/>
          <w:color w:val="003366"/>
          <w:sz w:val="44"/>
          <w:szCs w:val="44"/>
        </w:rPr>
        <w:t>its two</w:t>
      </w:r>
      <w:r>
        <w:rPr>
          <w:rFonts w:asciiTheme="majorHAnsi" w:hAnsiTheme="majorHAnsi"/>
          <w:color w:val="003366"/>
          <w:sz w:val="44"/>
          <w:szCs w:val="44"/>
        </w:rPr>
        <w:t xml:space="preserve"> components:</w:t>
      </w:r>
      <w:r w:rsidRPr="00801271">
        <w:rPr>
          <w:rFonts w:asciiTheme="majorHAnsi" w:hAnsiTheme="majorHAnsi"/>
          <w:color w:val="003366"/>
          <w:sz w:val="44"/>
          <w:szCs w:val="44"/>
        </w:rPr>
        <w:t xml:space="preserve"> </w:t>
      </w:r>
    </w:p>
    <w:p w:rsidR="00BE6581" w:rsidRDefault="0074018D" w:rsidP="00801271">
      <w:pPr>
        <w:spacing w:after="200" w:line="276" w:lineRule="auto"/>
        <w:ind w:firstLine="720"/>
        <w:rPr>
          <w:rFonts w:asciiTheme="majorHAnsi" w:hAnsiTheme="majorHAnsi"/>
          <w:b/>
          <w:color w:val="800000"/>
          <w:sz w:val="44"/>
          <w:szCs w:val="44"/>
        </w:rPr>
      </w:pPr>
      <w:proofErr w:type="spellStart"/>
      <w:r w:rsidRPr="00BE6581">
        <w:rPr>
          <w:rFonts w:asciiTheme="majorHAnsi" w:hAnsiTheme="majorHAnsi"/>
          <w:b/>
          <w:color w:val="003366"/>
          <w:sz w:val="44"/>
          <w:szCs w:val="44"/>
        </w:rPr>
        <w:t>ΔCash</w:t>
      </w:r>
      <w:proofErr w:type="spellEnd"/>
      <w:r>
        <w:rPr>
          <w:rFonts w:asciiTheme="majorHAnsi" w:hAnsiTheme="majorHAnsi"/>
          <w:b/>
          <w:color w:val="003366"/>
          <w:sz w:val="44"/>
          <w:szCs w:val="44"/>
        </w:rPr>
        <w:t xml:space="preserve"> = </w:t>
      </w:r>
      <w:proofErr w:type="spellStart"/>
      <w:r w:rsidRPr="00B947F0">
        <w:rPr>
          <w:rFonts w:asciiTheme="majorHAnsi" w:hAnsiTheme="majorHAnsi"/>
          <w:b/>
          <w:color w:val="800000"/>
          <w:sz w:val="44"/>
          <w:szCs w:val="44"/>
        </w:rPr>
        <w:t>Δ</w:t>
      </w:r>
      <w:r>
        <w:rPr>
          <w:rFonts w:asciiTheme="majorHAnsi" w:hAnsiTheme="majorHAnsi"/>
          <w:b/>
          <w:color w:val="800000"/>
          <w:sz w:val="44"/>
          <w:szCs w:val="44"/>
        </w:rPr>
        <w:t>C</w:t>
      </w:r>
      <w:r w:rsidRPr="00B947F0">
        <w:rPr>
          <w:rFonts w:asciiTheme="majorHAnsi" w:hAnsiTheme="majorHAnsi"/>
          <w:b/>
          <w:color w:val="800000"/>
          <w:sz w:val="44"/>
          <w:szCs w:val="44"/>
        </w:rPr>
        <w:t>ash</w:t>
      </w:r>
      <w:r>
        <w:rPr>
          <w:rFonts w:asciiTheme="majorHAnsi" w:hAnsiTheme="majorHAnsi"/>
          <w:b/>
          <w:color w:val="800000"/>
          <w:sz w:val="44"/>
          <w:szCs w:val="44"/>
        </w:rPr>
        <w:t>ForBusinessSolvency</w:t>
      </w:r>
      <w:proofErr w:type="spellEnd"/>
      <w:r>
        <w:rPr>
          <w:rFonts w:asciiTheme="majorHAnsi" w:hAnsiTheme="majorHAnsi"/>
          <w:b/>
          <w:color w:val="800000"/>
          <w:sz w:val="44"/>
          <w:szCs w:val="44"/>
        </w:rPr>
        <w:t xml:space="preserve"> + </w:t>
      </w:r>
      <w:proofErr w:type="spellStart"/>
      <w:r w:rsidR="00801271" w:rsidRPr="0074018D">
        <w:rPr>
          <w:rFonts w:asciiTheme="majorHAnsi" w:hAnsiTheme="majorHAnsi"/>
          <w:b/>
          <w:color w:val="800000"/>
          <w:sz w:val="44"/>
          <w:szCs w:val="44"/>
        </w:rPr>
        <w:t>ΔExcess</w:t>
      </w:r>
      <w:r w:rsidR="00801271">
        <w:rPr>
          <w:rFonts w:asciiTheme="majorHAnsi" w:hAnsiTheme="majorHAnsi"/>
          <w:b/>
          <w:color w:val="800000"/>
          <w:sz w:val="44"/>
          <w:szCs w:val="44"/>
        </w:rPr>
        <w:t>Cash</w:t>
      </w:r>
      <w:proofErr w:type="spellEnd"/>
    </w:p>
    <w:p w:rsidR="00801271" w:rsidRDefault="00801271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br w:type="page"/>
      </w:r>
    </w:p>
    <w:p w:rsidR="00801271" w:rsidRDefault="00801271" w:rsidP="00801271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lastRenderedPageBreak/>
        <w:t>Remember the firm free cash flow formula:</w:t>
      </w:r>
    </w:p>
    <w:p w:rsidR="00801271" w:rsidRDefault="00801271" w:rsidP="00801271">
      <w:pPr>
        <w:spacing w:after="200" w:line="276" w:lineRule="auto"/>
        <w:ind w:left="720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FFCF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NetIncome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ΔCAExclCash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ΔNCAExclPPEAndIntangibles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) -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)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IntExp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r>
        <w:rPr>
          <w:rFonts w:asciiTheme="majorHAnsi" w:hAnsiTheme="majorHAnsi"/>
          <w:color w:val="003366"/>
          <w:sz w:val="44"/>
          <w:szCs w:val="44"/>
        </w:rPr>
        <w:t>-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proofErr w:type="spellStart"/>
      <w:r w:rsidRPr="00BE6581">
        <w:rPr>
          <w:rFonts w:asciiTheme="majorHAnsi" w:hAnsiTheme="majorHAnsi"/>
          <w:b/>
          <w:color w:val="003366"/>
          <w:sz w:val="44"/>
          <w:szCs w:val="44"/>
        </w:rPr>
        <w:t>ΔCash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</w:p>
    <w:p w:rsidR="00801271" w:rsidRDefault="00801271" w:rsidP="00801271">
      <w:pPr>
        <w:spacing w:after="200" w:line="276" w:lineRule="auto"/>
        <w:rPr>
          <w:rFonts w:asciiTheme="majorHAnsi" w:hAnsiTheme="majorHAnsi"/>
          <w:b/>
          <w:color w:val="800000"/>
          <w:sz w:val="44"/>
          <w:szCs w:val="44"/>
        </w:rPr>
      </w:pPr>
      <w:r w:rsidRPr="00801271">
        <w:rPr>
          <w:rFonts w:asciiTheme="majorHAnsi" w:hAnsiTheme="majorHAnsi"/>
          <w:color w:val="003366"/>
          <w:sz w:val="44"/>
          <w:szCs w:val="44"/>
        </w:rPr>
        <w:t xml:space="preserve">Replace </w:t>
      </w:r>
      <w:proofErr w:type="spellStart"/>
      <w:r w:rsidRPr="00BE6581">
        <w:rPr>
          <w:rFonts w:asciiTheme="majorHAnsi" w:hAnsiTheme="majorHAnsi"/>
          <w:b/>
          <w:color w:val="003366"/>
          <w:sz w:val="44"/>
          <w:szCs w:val="44"/>
        </w:rPr>
        <w:t>ΔCash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r w:rsidRPr="00801271">
        <w:rPr>
          <w:rFonts w:asciiTheme="majorHAnsi" w:hAnsiTheme="majorHAnsi"/>
          <w:color w:val="003366"/>
          <w:sz w:val="44"/>
          <w:szCs w:val="44"/>
        </w:rPr>
        <w:t>with its components</w:t>
      </w:r>
      <w:r w:rsidRPr="00801271">
        <w:rPr>
          <w:rFonts w:asciiTheme="majorHAnsi" w:hAnsiTheme="majorHAnsi"/>
          <w:color w:val="003366"/>
          <w:sz w:val="44"/>
          <w:szCs w:val="44"/>
        </w:rPr>
        <w:t>:</w:t>
      </w:r>
    </w:p>
    <w:p w:rsidR="00BE6581" w:rsidRDefault="00BE6581" w:rsidP="00801271">
      <w:pPr>
        <w:spacing w:after="200" w:line="276" w:lineRule="auto"/>
        <w:ind w:left="720"/>
        <w:rPr>
          <w:rFonts w:asciiTheme="majorHAnsi" w:hAnsiTheme="majorHAnsi"/>
          <w:b/>
          <w:color w:val="800000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FFCF </w:t>
      </w:r>
      <w:r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NetIncome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ΔCAExclCash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ΔNCAExclPPEAndIntangibles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) -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)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IntExp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r>
        <w:rPr>
          <w:rFonts w:asciiTheme="majorHAnsi" w:hAnsiTheme="majorHAnsi"/>
          <w:color w:val="003366"/>
          <w:sz w:val="44"/>
          <w:szCs w:val="44"/>
        </w:rPr>
        <w:t>-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proofErr w:type="spellStart"/>
      <w:r w:rsidR="0074018D" w:rsidRPr="00B947F0">
        <w:rPr>
          <w:rFonts w:asciiTheme="majorHAnsi" w:hAnsiTheme="majorHAnsi"/>
          <w:b/>
          <w:color w:val="800000"/>
          <w:sz w:val="44"/>
          <w:szCs w:val="44"/>
        </w:rPr>
        <w:t>Δ</w:t>
      </w:r>
      <w:r w:rsidR="0074018D">
        <w:rPr>
          <w:rFonts w:asciiTheme="majorHAnsi" w:hAnsiTheme="majorHAnsi"/>
          <w:b/>
          <w:color w:val="800000"/>
          <w:sz w:val="44"/>
          <w:szCs w:val="44"/>
        </w:rPr>
        <w:t>C</w:t>
      </w:r>
      <w:r w:rsidR="0074018D" w:rsidRPr="00B947F0">
        <w:rPr>
          <w:rFonts w:asciiTheme="majorHAnsi" w:hAnsiTheme="majorHAnsi"/>
          <w:b/>
          <w:color w:val="800000"/>
          <w:sz w:val="44"/>
          <w:szCs w:val="44"/>
        </w:rPr>
        <w:t>ash</w:t>
      </w:r>
      <w:r w:rsidR="0074018D">
        <w:rPr>
          <w:rFonts w:asciiTheme="majorHAnsi" w:hAnsiTheme="majorHAnsi"/>
          <w:b/>
          <w:color w:val="800000"/>
          <w:sz w:val="44"/>
          <w:szCs w:val="44"/>
        </w:rPr>
        <w:t>ForBusinessSolvency</w:t>
      </w:r>
      <w:proofErr w:type="spellEnd"/>
      <w:r w:rsidR="0074018D">
        <w:rPr>
          <w:rFonts w:asciiTheme="majorHAnsi" w:hAnsiTheme="majorHAnsi"/>
          <w:b/>
          <w:color w:val="800000"/>
          <w:sz w:val="44"/>
          <w:szCs w:val="44"/>
        </w:rPr>
        <w:t xml:space="preserve"> </w:t>
      </w:r>
      <w:r w:rsidR="00801271">
        <w:rPr>
          <w:rFonts w:asciiTheme="majorHAnsi" w:hAnsiTheme="majorHAnsi"/>
          <w:b/>
          <w:color w:val="800000"/>
          <w:sz w:val="44"/>
          <w:szCs w:val="44"/>
        </w:rPr>
        <w:t>–</w:t>
      </w:r>
      <w:r w:rsidR="0074018D">
        <w:rPr>
          <w:rFonts w:asciiTheme="majorHAnsi" w:hAnsiTheme="majorHAnsi"/>
          <w:b/>
          <w:color w:val="800000"/>
          <w:sz w:val="44"/>
          <w:szCs w:val="44"/>
        </w:rPr>
        <w:t xml:space="preserve"> </w:t>
      </w:r>
      <w:proofErr w:type="spellStart"/>
      <w:r w:rsidR="00801271" w:rsidRPr="0074018D">
        <w:rPr>
          <w:rFonts w:asciiTheme="majorHAnsi" w:hAnsiTheme="majorHAnsi"/>
          <w:b/>
          <w:color w:val="800000"/>
          <w:sz w:val="44"/>
          <w:szCs w:val="44"/>
        </w:rPr>
        <w:t>ΔExcess</w:t>
      </w:r>
      <w:r w:rsidR="00801271">
        <w:rPr>
          <w:rFonts w:asciiTheme="majorHAnsi" w:hAnsiTheme="majorHAnsi"/>
          <w:b/>
          <w:color w:val="800000"/>
          <w:sz w:val="44"/>
          <w:szCs w:val="44"/>
        </w:rPr>
        <w:t>Cash</w:t>
      </w:r>
      <w:proofErr w:type="spellEnd"/>
    </w:p>
    <w:p w:rsidR="00801271" w:rsidRDefault="00801271" w:rsidP="00801271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Break the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FFCF </w:t>
      </w:r>
      <w:r>
        <w:rPr>
          <w:rFonts w:asciiTheme="majorHAnsi" w:hAnsiTheme="majorHAnsi"/>
          <w:color w:val="003366"/>
          <w:sz w:val="44"/>
          <w:szCs w:val="44"/>
        </w:rPr>
        <w:t>down into that which is paid to debt and equity holders:</w:t>
      </w:r>
    </w:p>
    <w:p w:rsidR="00801271" w:rsidRDefault="00801271" w:rsidP="00801271">
      <w:pPr>
        <w:spacing w:after="200" w:line="276" w:lineRule="auto"/>
        <w:ind w:firstLine="720"/>
        <w:rPr>
          <w:rFonts w:asciiTheme="majorHAnsi" w:hAnsiTheme="majorHAnsi"/>
          <w:color w:val="003366"/>
          <w:sz w:val="44"/>
          <w:szCs w:val="44"/>
        </w:rPr>
      </w:pPr>
      <w:r w:rsidRPr="00E343ED">
        <w:rPr>
          <w:rFonts w:asciiTheme="majorHAnsi" w:hAnsiTheme="majorHAnsi"/>
          <w:color w:val="003366"/>
          <w:sz w:val="44"/>
          <w:szCs w:val="44"/>
        </w:rPr>
        <w:t xml:space="preserve">FFCF </w:t>
      </w:r>
      <w:r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DebtCashFlowToDebtHolders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EFCF </w:t>
      </w:r>
    </w:p>
    <w:p w:rsidR="00801271" w:rsidRDefault="00801271" w:rsidP="00801271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Then re-arrange the formula so that </w:t>
      </w:r>
      <w:proofErr w:type="spellStart"/>
      <w:r w:rsidRPr="00B947F0">
        <w:rPr>
          <w:rFonts w:asciiTheme="majorHAnsi" w:hAnsiTheme="majorHAnsi"/>
          <w:b/>
          <w:color w:val="800000"/>
          <w:sz w:val="44"/>
          <w:szCs w:val="44"/>
        </w:rPr>
        <w:t>Δ</w:t>
      </w:r>
      <w:r>
        <w:rPr>
          <w:rFonts w:asciiTheme="majorHAnsi" w:hAnsiTheme="majorHAnsi"/>
          <w:b/>
          <w:color w:val="800000"/>
          <w:sz w:val="44"/>
          <w:szCs w:val="44"/>
        </w:rPr>
        <w:t>C</w:t>
      </w:r>
      <w:r w:rsidRPr="00B947F0">
        <w:rPr>
          <w:rFonts w:asciiTheme="majorHAnsi" w:hAnsiTheme="majorHAnsi"/>
          <w:b/>
          <w:color w:val="800000"/>
          <w:sz w:val="44"/>
          <w:szCs w:val="44"/>
        </w:rPr>
        <w:t>ash</w:t>
      </w:r>
      <w:r>
        <w:rPr>
          <w:rFonts w:asciiTheme="majorHAnsi" w:hAnsiTheme="majorHAnsi"/>
          <w:b/>
          <w:color w:val="800000"/>
          <w:sz w:val="44"/>
          <w:szCs w:val="44"/>
        </w:rPr>
        <w:t>ForBusinessSolvency</w:t>
      </w:r>
      <w:proofErr w:type="spellEnd"/>
      <w:r>
        <w:rPr>
          <w:rFonts w:asciiTheme="majorHAnsi" w:hAnsiTheme="majorHAnsi"/>
          <w:b/>
          <w:color w:val="800000"/>
          <w:sz w:val="44"/>
          <w:szCs w:val="44"/>
        </w:rPr>
        <w:t xml:space="preserve"> </w:t>
      </w:r>
      <w:r>
        <w:rPr>
          <w:rFonts w:asciiTheme="majorHAnsi" w:hAnsiTheme="majorHAnsi"/>
          <w:color w:val="003366"/>
          <w:sz w:val="44"/>
          <w:szCs w:val="44"/>
        </w:rPr>
        <w:t xml:space="preserve">is in the </w:t>
      </w:r>
      <w:r w:rsidRPr="00801271">
        <w:rPr>
          <w:rFonts w:asciiTheme="majorHAnsi" w:hAnsiTheme="majorHAnsi"/>
          <w:color w:val="003366"/>
          <w:sz w:val="44"/>
          <w:szCs w:val="44"/>
        </w:rPr>
        <w:t>Δ</w:t>
      </w:r>
      <w:r w:rsidRPr="00801271">
        <w:rPr>
          <w:rFonts w:asciiTheme="majorHAnsi" w:hAnsiTheme="majorHAnsi"/>
          <w:color w:val="003366"/>
          <w:sz w:val="44"/>
          <w:szCs w:val="44"/>
        </w:rPr>
        <w:t>NW</w:t>
      </w:r>
      <w:r>
        <w:rPr>
          <w:rFonts w:asciiTheme="majorHAnsi" w:hAnsiTheme="majorHAnsi"/>
          <w:color w:val="003366"/>
          <w:sz w:val="44"/>
          <w:szCs w:val="44"/>
        </w:rPr>
        <w:t xml:space="preserve">C section and the </w:t>
      </w:r>
      <w:proofErr w:type="spellStart"/>
      <w:r w:rsidRPr="0074018D">
        <w:rPr>
          <w:rFonts w:asciiTheme="majorHAnsi" w:hAnsiTheme="majorHAnsi"/>
          <w:b/>
          <w:color w:val="800000"/>
          <w:sz w:val="44"/>
          <w:szCs w:val="44"/>
        </w:rPr>
        <w:t>ΔExcess</w:t>
      </w:r>
      <w:r>
        <w:rPr>
          <w:rFonts w:asciiTheme="majorHAnsi" w:hAnsiTheme="majorHAnsi"/>
          <w:b/>
          <w:color w:val="800000"/>
          <w:sz w:val="44"/>
          <w:szCs w:val="44"/>
        </w:rPr>
        <w:t>Cash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 is part of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DebtCashFlowToDebtHolders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>:</w:t>
      </w:r>
    </w:p>
    <w:p w:rsidR="00801271" w:rsidRDefault="00801271" w:rsidP="001041E7">
      <w:pPr>
        <w:spacing w:after="200" w:line="276" w:lineRule="auto"/>
        <w:ind w:left="720"/>
        <w:rPr>
          <w:rFonts w:asciiTheme="majorHAnsi" w:hAnsiTheme="majorHAnsi"/>
          <w:color w:val="003366"/>
          <w:sz w:val="44"/>
          <w:szCs w:val="44"/>
        </w:rPr>
      </w:pP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lastRenderedPageBreak/>
        <w:t>DebtCashFlow</w:t>
      </w:r>
      <w:r w:rsidR="00175D19" w:rsidRPr="00D42DB9">
        <w:rPr>
          <w:rFonts w:asciiTheme="majorHAnsi" w:hAnsiTheme="majorHAnsi"/>
          <w:b/>
          <w:color w:val="003366"/>
          <w:sz w:val="44"/>
          <w:szCs w:val="44"/>
        </w:rPr>
        <w:t>Ex</w:t>
      </w:r>
      <w:r w:rsidR="00175D19">
        <w:rPr>
          <w:rFonts w:asciiTheme="majorHAnsi" w:hAnsiTheme="majorHAnsi"/>
          <w:color w:val="003366"/>
          <w:sz w:val="44"/>
          <w:szCs w:val="44"/>
        </w:rPr>
        <w:t>cludingExcessCash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 +</w:t>
      </w:r>
      <w:r w:rsidRPr="00801271">
        <w:rPr>
          <w:rFonts w:asciiTheme="majorHAnsi" w:hAnsiTheme="majorHAnsi"/>
          <w:b/>
          <w:color w:val="800000"/>
          <w:sz w:val="44"/>
          <w:szCs w:val="44"/>
        </w:rPr>
        <w:t xml:space="preserve"> </w:t>
      </w:r>
      <w:proofErr w:type="spellStart"/>
      <w:r w:rsidRPr="0074018D">
        <w:rPr>
          <w:rFonts w:asciiTheme="majorHAnsi" w:hAnsiTheme="majorHAnsi"/>
          <w:b/>
          <w:color w:val="800000"/>
          <w:sz w:val="44"/>
          <w:szCs w:val="44"/>
        </w:rPr>
        <w:t>ΔExcess</w:t>
      </w:r>
      <w:r>
        <w:rPr>
          <w:rFonts w:asciiTheme="majorHAnsi" w:hAnsiTheme="majorHAnsi"/>
          <w:b/>
          <w:color w:val="800000"/>
          <w:sz w:val="44"/>
          <w:szCs w:val="44"/>
        </w:rPr>
        <w:t>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EFCF </w:t>
      </w:r>
      <w:r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NetIncome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(</w:t>
      </w:r>
      <w:proofErr w:type="spellStart"/>
      <w:r w:rsidRPr="00B947F0">
        <w:rPr>
          <w:rFonts w:asciiTheme="majorHAnsi" w:hAnsiTheme="majorHAnsi"/>
          <w:b/>
          <w:color w:val="800000"/>
          <w:sz w:val="44"/>
          <w:szCs w:val="44"/>
        </w:rPr>
        <w:t>Δ</w:t>
      </w:r>
      <w:r>
        <w:rPr>
          <w:rFonts w:asciiTheme="majorHAnsi" w:hAnsiTheme="majorHAnsi"/>
          <w:b/>
          <w:color w:val="800000"/>
          <w:sz w:val="44"/>
          <w:szCs w:val="44"/>
        </w:rPr>
        <w:t>C</w:t>
      </w:r>
      <w:r w:rsidRPr="00B947F0">
        <w:rPr>
          <w:rFonts w:asciiTheme="majorHAnsi" w:hAnsiTheme="majorHAnsi"/>
          <w:b/>
          <w:color w:val="800000"/>
          <w:sz w:val="44"/>
          <w:szCs w:val="44"/>
        </w:rPr>
        <w:t>ash</w:t>
      </w:r>
      <w:r>
        <w:rPr>
          <w:rFonts w:asciiTheme="majorHAnsi" w:hAnsiTheme="majorHAnsi"/>
          <w:b/>
          <w:color w:val="800000"/>
          <w:sz w:val="44"/>
          <w:szCs w:val="44"/>
        </w:rPr>
        <w:t>ForBusinessSolvency</w:t>
      </w:r>
      <w:proofErr w:type="spellEnd"/>
      <w:r>
        <w:rPr>
          <w:rFonts w:asciiTheme="majorHAnsi" w:hAnsiTheme="majorHAnsi"/>
          <w:b/>
          <w:color w:val="800000"/>
          <w:sz w:val="44"/>
          <w:szCs w:val="44"/>
        </w:rPr>
        <w:t xml:space="preserve"> </w:t>
      </w:r>
      <w:r>
        <w:rPr>
          <w:rFonts w:asciiTheme="majorHAnsi" w:hAnsiTheme="majorHAnsi"/>
          <w:b/>
          <w:color w:val="800000"/>
          <w:sz w:val="44"/>
          <w:szCs w:val="44"/>
        </w:rPr>
        <w:t xml:space="preserve">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ΔCAExclCash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ΔNCAExclPPEAndIntangibles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>) -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ΔPPEAndIntangibl</w:t>
      </w:r>
      <w:r>
        <w:rPr>
          <w:rFonts w:asciiTheme="majorHAnsi" w:hAnsiTheme="majorHAnsi"/>
          <w:color w:val="003366"/>
          <w:sz w:val="44"/>
          <w:szCs w:val="44"/>
        </w:rPr>
        <w:t>es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) + </w:t>
      </w:r>
      <w:proofErr w:type="spellStart"/>
      <w:r>
        <w:rPr>
          <w:rFonts w:asciiTheme="majorHAnsi" w:hAnsiTheme="majorHAnsi"/>
          <w:color w:val="003366"/>
          <w:sz w:val="44"/>
          <w:szCs w:val="44"/>
        </w:rPr>
        <w:t>IntExp</w:t>
      </w:r>
      <w:proofErr w:type="spellEnd"/>
    </w:p>
    <w:p w:rsidR="00CC6A78" w:rsidRDefault="00CC6A78" w:rsidP="00CC6A78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>This can be re-written as:</w:t>
      </w:r>
    </w:p>
    <w:p w:rsidR="00CC6A78" w:rsidRPr="001041E7" w:rsidRDefault="00CC6A78" w:rsidP="00CC6A78">
      <w:pPr>
        <w:spacing w:after="200" w:line="276" w:lineRule="auto"/>
        <w:ind w:left="720"/>
        <w:rPr>
          <w:rFonts w:asciiTheme="majorHAnsi" w:hAnsiTheme="majorHAnsi"/>
          <w:color w:val="003366"/>
          <w:sz w:val="44"/>
          <w:szCs w:val="44"/>
        </w:rPr>
      </w:pP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DebtCashFlow</w:t>
      </w:r>
      <w:r w:rsidRPr="00D42DB9">
        <w:rPr>
          <w:rFonts w:asciiTheme="majorHAnsi" w:hAnsiTheme="majorHAnsi"/>
          <w:b/>
          <w:color w:val="003366"/>
          <w:sz w:val="44"/>
          <w:szCs w:val="44"/>
        </w:rPr>
        <w:t>In</w:t>
      </w:r>
      <w:r>
        <w:rPr>
          <w:rFonts w:asciiTheme="majorHAnsi" w:hAnsiTheme="majorHAnsi"/>
          <w:color w:val="003366"/>
          <w:sz w:val="44"/>
          <w:szCs w:val="44"/>
        </w:rPr>
        <w:t>cludingExcessCash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+ EFCF </w:t>
      </w:r>
      <w:r>
        <w:rPr>
          <w:rFonts w:asciiTheme="majorHAnsi" w:hAnsiTheme="majorHAnsi"/>
          <w:color w:val="003366"/>
          <w:sz w:val="44"/>
          <w:szCs w:val="44"/>
        </w:rPr>
        <w:t xml:space="preserve">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NetIncome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gramStart"/>
      <w:r w:rsidRPr="00E343ED">
        <w:rPr>
          <w:rFonts w:asciiTheme="majorHAnsi" w:hAnsiTheme="majorHAnsi"/>
          <w:color w:val="003366"/>
          <w:sz w:val="44"/>
          <w:szCs w:val="44"/>
        </w:rPr>
        <w:t>Δ</w:t>
      </w:r>
      <w:r>
        <w:rPr>
          <w:rFonts w:asciiTheme="majorHAnsi" w:hAnsiTheme="majorHAnsi"/>
          <w:color w:val="003366"/>
          <w:sz w:val="44"/>
          <w:szCs w:val="44"/>
        </w:rPr>
        <w:t xml:space="preserve">NWC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-</w:t>
      </w:r>
      <w:proofErr w:type="gramEnd"/>
      <w:r w:rsidRPr="00E343ED">
        <w:rPr>
          <w:rFonts w:asciiTheme="majorHAnsi" w:hAnsiTheme="majorHAnsi"/>
          <w:color w:val="003366"/>
          <w:sz w:val="44"/>
          <w:szCs w:val="44"/>
        </w:rPr>
        <w:t xml:space="preserve"> (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ΔPPEAndIntangibl</w:t>
      </w:r>
      <w:r>
        <w:rPr>
          <w:rFonts w:asciiTheme="majorHAnsi" w:hAnsiTheme="majorHAnsi"/>
          <w:color w:val="003366"/>
          <w:sz w:val="44"/>
          <w:szCs w:val="44"/>
        </w:rPr>
        <w:t>es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>
        <w:rPr>
          <w:rFonts w:asciiTheme="majorHAnsi" w:hAnsiTheme="majorHAnsi"/>
          <w:color w:val="003366"/>
          <w:sz w:val="44"/>
          <w:szCs w:val="44"/>
        </w:rPr>
        <w:t>Depr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>
        <w:rPr>
          <w:rFonts w:asciiTheme="majorHAnsi" w:hAnsiTheme="majorHAnsi"/>
          <w:color w:val="003366"/>
          <w:sz w:val="44"/>
          <w:szCs w:val="44"/>
        </w:rPr>
        <w:t>ΔReserves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) + </w:t>
      </w:r>
      <w:proofErr w:type="spellStart"/>
      <w:r>
        <w:rPr>
          <w:rFonts w:asciiTheme="majorHAnsi" w:hAnsiTheme="majorHAnsi"/>
          <w:color w:val="003366"/>
          <w:sz w:val="44"/>
          <w:szCs w:val="44"/>
        </w:rPr>
        <w:t>IntExp</w:t>
      </w:r>
      <w:proofErr w:type="spellEnd"/>
    </w:p>
    <w:p w:rsidR="00CC6A78" w:rsidRDefault="00CC6A78" w:rsidP="00CC6A78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>Where:</w:t>
      </w:r>
    </w:p>
    <w:p w:rsidR="00D42DB9" w:rsidRPr="001041E7" w:rsidRDefault="00D42DB9" w:rsidP="00D42DB9">
      <w:pPr>
        <w:spacing w:after="200" w:line="276" w:lineRule="auto"/>
        <w:ind w:left="720"/>
        <w:rPr>
          <w:rFonts w:asciiTheme="majorHAnsi" w:hAnsiTheme="majorHAnsi"/>
          <w:color w:val="003366"/>
          <w:sz w:val="44"/>
          <w:szCs w:val="44"/>
        </w:rPr>
      </w:pP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DebtCashFlow</w:t>
      </w:r>
      <w:r w:rsidRPr="00D42DB9">
        <w:rPr>
          <w:rFonts w:asciiTheme="majorHAnsi" w:hAnsiTheme="majorHAnsi"/>
          <w:b/>
          <w:color w:val="003366"/>
          <w:sz w:val="44"/>
          <w:szCs w:val="44"/>
        </w:rPr>
        <w:t>In</w:t>
      </w:r>
      <w:r>
        <w:rPr>
          <w:rFonts w:asciiTheme="majorHAnsi" w:hAnsiTheme="majorHAnsi"/>
          <w:color w:val="003366"/>
          <w:sz w:val="44"/>
          <w:szCs w:val="44"/>
        </w:rPr>
        <w:t>cludingExcessCash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 =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DebtCashFlow</w:t>
      </w:r>
      <w:r w:rsidRPr="00D42DB9">
        <w:rPr>
          <w:rFonts w:asciiTheme="majorHAnsi" w:hAnsiTheme="majorHAnsi"/>
          <w:b/>
          <w:color w:val="003366"/>
          <w:sz w:val="44"/>
          <w:szCs w:val="44"/>
        </w:rPr>
        <w:t>Ex</w:t>
      </w:r>
      <w:r>
        <w:rPr>
          <w:rFonts w:asciiTheme="majorHAnsi" w:hAnsiTheme="majorHAnsi"/>
          <w:color w:val="003366"/>
          <w:sz w:val="44"/>
          <w:szCs w:val="44"/>
        </w:rPr>
        <w:t>cludingExcessCash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 +</w:t>
      </w:r>
      <w:r w:rsidRPr="00801271">
        <w:rPr>
          <w:rFonts w:asciiTheme="majorHAnsi" w:hAnsiTheme="majorHAnsi"/>
          <w:b/>
          <w:color w:val="800000"/>
          <w:sz w:val="44"/>
          <w:szCs w:val="44"/>
        </w:rPr>
        <w:t xml:space="preserve"> </w:t>
      </w:r>
      <w:proofErr w:type="spellStart"/>
      <w:r w:rsidRPr="0074018D">
        <w:rPr>
          <w:rFonts w:asciiTheme="majorHAnsi" w:hAnsiTheme="majorHAnsi"/>
          <w:b/>
          <w:color w:val="800000"/>
          <w:sz w:val="44"/>
          <w:szCs w:val="44"/>
        </w:rPr>
        <w:t>ΔExcess</w:t>
      </w:r>
      <w:r>
        <w:rPr>
          <w:rFonts w:asciiTheme="majorHAnsi" w:hAnsiTheme="majorHAnsi"/>
          <w:b/>
          <w:color w:val="800000"/>
          <w:sz w:val="44"/>
          <w:szCs w:val="44"/>
        </w:rPr>
        <w:t>Cash</w:t>
      </w:r>
      <w:proofErr w:type="spellEnd"/>
    </w:p>
    <w:p w:rsidR="00CC6A78" w:rsidRDefault="00CC6A78" w:rsidP="00D42DB9">
      <w:pPr>
        <w:spacing w:after="200" w:line="276" w:lineRule="auto"/>
        <w:ind w:left="720"/>
        <w:rPr>
          <w:rFonts w:asciiTheme="majorHAnsi" w:hAnsiTheme="majorHAnsi"/>
          <w:color w:val="003366"/>
          <w:sz w:val="44"/>
          <w:szCs w:val="44"/>
        </w:rPr>
      </w:pPr>
      <w:proofErr w:type="gramStart"/>
      <w:r w:rsidRPr="00E343ED">
        <w:rPr>
          <w:rFonts w:asciiTheme="majorHAnsi" w:hAnsiTheme="majorHAnsi"/>
          <w:color w:val="003366"/>
          <w:sz w:val="44"/>
          <w:szCs w:val="44"/>
        </w:rPr>
        <w:t>Δ</w:t>
      </w:r>
      <w:r>
        <w:rPr>
          <w:rFonts w:asciiTheme="majorHAnsi" w:hAnsiTheme="majorHAnsi"/>
          <w:color w:val="003366"/>
          <w:sz w:val="44"/>
          <w:szCs w:val="44"/>
        </w:rPr>
        <w:t xml:space="preserve">NWC </w:t>
      </w:r>
      <w:r w:rsidRPr="00E343ED">
        <w:rPr>
          <w:rFonts w:asciiTheme="majorHAnsi" w:hAnsiTheme="majorHAnsi"/>
          <w:color w:val="003366"/>
          <w:sz w:val="44"/>
          <w:szCs w:val="44"/>
        </w:rPr>
        <w:t xml:space="preserve"> </w:t>
      </w:r>
      <w:r>
        <w:rPr>
          <w:rFonts w:asciiTheme="majorHAnsi" w:hAnsiTheme="majorHAnsi"/>
          <w:color w:val="003366"/>
          <w:sz w:val="44"/>
          <w:szCs w:val="44"/>
        </w:rPr>
        <w:t>=</w:t>
      </w:r>
      <w:proofErr w:type="gramEnd"/>
      <w:r>
        <w:rPr>
          <w:rFonts w:asciiTheme="majorHAnsi" w:hAnsiTheme="majorHAnsi"/>
          <w:color w:val="003366"/>
          <w:sz w:val="44"/>
          <w:szCs w:val="44"/>
        </w:rPr>
        <w:t xml:space="preserve"> </w:t>
      </w:r>
      <w:proofErr w:type="spellStart"/>
      <w:r w:rsidRPr="00B947F0">
        <w:rPr>
          <w:rFonts w:asciiTheme="majorHAnsi" w:hAnsiTheme="majorHAnsi"/>
          <w:b/>
          <w:color w:val="800000"/>
          <w:sz w:val="44"/>
          <w:szCs w:val="44"/>
        </w:rPr>
        <w:t>Δ</w:t>
      </w:r>
      <w:r>
        <w:rPr>
          <w:rFonts w:asciiTheme="majorHAnsi" w:hAnsiTheme="majorHAnsi"/>
          <w:b/>
          <w:color w:val="800000"/>
          <w:sz w:val="44"/>
          <w:szCs w:val="44"/>
        </w:rPr>
        <w:t>C</w:t>
      </w:r>
      <w:r w:rsidRPr="00B947F0">
        <w:rPr>
          <w:rFonts w:asciiTheme="majorHAnsi" w:hAnsiTheme="majorHAnsi"/>
          <w:b/>
          <w:color w:val="800000"/>
          <w:sz w:val="44"/>
          <w:szCs w:val="44"/>
        </w:rPr>
        <w:t>ash</w:t>
      </w:r>
      <w:r>
        <w:rPr>
          <w:rFonts w:asciiTheme="majorHAnsi" w:hAnsiTheme="majorHAnsi"/>
          <w:b/>
          <w:color w:val="800000"/>
          <w:sz w:val="44"/>
          <w:szCs w:val="44"/>
        </w:rPr>
        <w:t>ForBusinessSolvency</w:t>
      </w:r>
      <w:proofErr w:type="spellEnd"/>
      <w:r>
        <w:rPr>
          <w:rFonts w:asciiTheme="majorHAnsi" w:hAnsiTheme="majorHAnsi"/>
          <w:b/>
          <w:color w:val="800000"/>
          <w:sz w:val="44"/>
          <w:szCs w:val="44"/>
        </w:rPr>
        <w:t xml:space="preserve"> +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ΔCAExclCash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ΔCLExclIBL</w:t>
      </w:r>
      <w:proofErr w:type="spellEnd"/>
      <w:r w:rsidRPr="00E343ED">
        <w:rPr>
          <w:rFonts w:asciiTheme="majorHAnsi" w:hAnsiTheme="majorHAnsi"/>
          <w:color w:val="003366"/>
          <w:sz w:val="44"/>
          <w:szCs w:val="44"/>
        </w:rPr>
        <w:t xml:space="preserve"> - </w:t>
      </w:r>
      <w:proofErr w:type="spellStart"/>
      <w:r w:rsidRPr="00E343ED">
        <w:rPr>
          <w:rFonts w:asciiTheme="majorHAnsi" w:hAnsiTheme="majorHAnsi"/>
          <w:color w:val="003366"/>
          <w:sz w:val="44"/>
          <w:szCs w:val="44"/>
        </w:rPr>
        <w:t>ΔNCLExcl</w:t>
      </w:r>
      <w:r>
        <w:rPr>
          <w:rFonts w:asciiTheme="majorHAnsi" w:hAnsiTheme="majorHAnsi"/>
          <w:color w:val="003366"/>
          <w:sz w:val="44"/>
          <w:szCs w:val="44"/>
        </w:rPr>
        <w:t>IBL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 + </w:t>
      </w:r>
      <w:proofErr w:type="spellStart"/>
      <w:r>
        <w:rPr>
          <w:rFonts w:asciiTheme="majorHAnsi" w:hAnsiTheme="majorHAnsi"/>
          <w:color w:val="003366"/>
          <w:sz w:val="44"/>
          <w:szCs w:val="44"/>
        </w:rPr>
        <w:t>ΔNCAExclPPEAndIntangibles</w:t>
      </w:r>
      <w:proofErr w:type="spellEnd"/>
    </w:p>
    <w:p w:rsidR="00CC6A78" w:rsidRDefault="00CC6A78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br w:type="page"/>
      </w:r>
    </w:p>
    <w:p w:rsidR="00D42DB9" w:rsidRDefault="00D42DB9" w:rsidP="00175D19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Modelling </w:t>
      </w:r>
      <w:proofErr w:type="spellStart"/>
      <w:r w:rsidRPr="00D42DB9">
        <w:rPr>
          <w:rFonts w:asciiTheme="majorHAnsi" w:hAnsiTheme="majorHAnsi"/>
          <w:b/>
          <w:i/>
          <w:color w:val="800000"/>
          <w:sz w:val="72"/>
          <w:szCs w:val="72"/>
        </w:rPr>
        <w:t>CashForBusinessSolvency</w:t>
      </w:r>
      <w:proofErr w:type="spellEnd"/>
      <w:r w:rsidR="00E76DC2">
        <w:rPr>
          <w:rFonts w:asciiTheme="majorHAnsi" w:hAnsiTheme="majorHAnsi"/>
          <w:b/>
          <w:i/>
          <w:color w:val="800000"/>
          <w:sz w:val="72"/>
          <w:szCs w:val="72"/>
        </w:rPr>
        <w:t xml:space="preserve"> using the ‘percent-of-sales’ method</w:t>
      </w:r>
    </w:p>
    <w:p w:rsidR="00D42DB9" w:rsidRDefault="001041E7" w:rsidP="00175D19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proofErr w:type="spellStart"/>
      <w:r>
        <w:rPr>
          <w:rFonts w:asciiTheme="majorHAnsi" w:hAnsiTheme="majorHAnsi"/>
          <w:b/>
          <w:color w:val="800000"/>
          <w:sz w:val="44"/>
          <w:szCs w:val="44"/>
        </w:rPr>
        <w:t>C</w:t>
      </w:r>
      <w:r w:rsidRPr="00B947F0">
        <w:rPr>
          <w:rFonts w:asciiTheme="majorHAnsi" w:hAnsiTheme="majorHAnsi"/>
          <w:b/>
          <w:color w:val="800000"/>
          <w:sz w:val="44"/>
          <w:szCs w:val="44"/>
        </w:rPr>
        <w:t>ash</w:t>
      </w:r>
      <w:r>
        <w:rPr>
          <w:rFonts w:asciiTheme="majorHAnsi" w:hAnsiTheme="majorHAnsi"/>
          <w:b/>
          <w:color w:val="800000"/>
          <w:sz w:val="44"/>
          <w:szCs w:val="44"/>
        </w:rPr>
        <w:t>ForBusinessSolvency</w:t>
      </w:r>
      <w:proofErr w:type="spellEnd"/>
      <w:r>
        <w:rPr>
          <w:rFonts w:asciiTheme="majorHAnsi" w:hAnsiTheme="majorHAnsi"/>
          <w:b/>
          <w:color w:val="800000"/>
          <w:sz w:val="44"/>
          <w:szCs w:val="44"/>
        </w:rPr>
        <w:t xml:space="preserve"> </w:t>
      </w:r>
      <w:r w:rsidR="00175D19">
        <w:rPr>
          <w:rFonts w:asciiTheme="majorHAnsi" w:hAnsiTheme="majorHAnsi"/>
          <w:color w:val="003366"/>
          <w:sz w:val="44"/>
          <w:szCs w:val="44"/>
        </w:rPr>
        <w:t xml:space="preserve">on the balance sheet </w:t>
      </w:r>
      <w:r w:rsidR="00D42DB9">
        <w:rPr>
          <w:rFonts w:asciiTheme="majorHAnsi" w:hAnsiTheme="majorHAnsi"/>
          <w:color w:val="003366"/>
          <w:sz w:val="44"/>
          <w:szCs w:val="44"/>
        </w:rPr>
        <w:t xml:space="preserve">can be modelled </w:t>
      </w:r>
      <w:r w:rsidR="00175D19">
        <w:rPr>
          <w:rFonts w:asciiTheme="majorHAnsi" w:hAnsiTheme="majorHAnsi"/>
          <w:color w:val="003366"/>
          <w:sz w:val="44"/>
          <w:szCs w:val="44"/>
        </w:rPr>
        <w:t xml:space="preserve">as a </w:t>
      </w:r>
      <w:r>
        <w:rPr>
          <w:rFonts w:asciiTheme="majorHAnsi" w:hAnsiTheme="majorHAnsi"/>
          <w:color w:val="003366"/>
          <w:sz w:val="44"/>
          <w:szCs w:val="44"/>
        </w:rPr>
        <w:t xml:space="preserve">constant </w:t>
      </w:r>
      <w:r w:rsidR="00175D19">
        <w:rPr>
          <w:rFonts w:asciiTheme="majorHAnsi" w:hAnsiTheme="majorHAnsi"/>
          <w:color w:val="003366"/>
          <w:sz w:val="44"/>
          <w:szCs w:val="44"/>
        </w:rPr>
        <w:t>proportion of revenue</w:t>
      </w:r>
      <w:r w:rsidR="00D42DB9">
        <w:rPr>
          <w:rFonts w:asciiTheme="majorHAnsi" w:hAnsiTheme="majorHAnsi"/>
          <w:color w:val="003366"/>
          <w:sz w:val="44"/>
          <w:szCs w:val="44"/>
        </w:rPr>
        <w:t xml:space="preserve">, </w:t>
      </w:r>
      <w:r w:rsidR="00175D19">
        <w:rPr>
          <w:rFonts w:asciiTheme="majorHAnsi" w:hAnsiTheme="majorHAnsi"/>
          <w:color w:val="003366"/>
          <w:sz w:val="44"/>
          <w:szCs w:val="44"/>
        </w:rPr>
        <w:t xml:space="preserve">called the ‘percent of sales’ method. </w:t>
      </w:r>
    </w:p>
    <w:p w:rsidR="00175D19" w:rsidRDefault="00175D19" w:rsidP="00175D19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So if revenue is forecast to grow then </w:t>
      </w:r>
      <w:proofErr w:type="spellStart"/>
      <w:r w:rsidR="001041E7">
        <w:rPr>
          <w:rFonts w:asciiTheme="majorHAnsi" w:hAnsiTheme="majorHAnsi"/>
          <w:b/>
          <w:color w:val="800000"/>
          <w:sz w:val="44"/>
          <w:szCs w:val="44"/>
        </w:rPr>
        <w:t>C</w:t>
      </w:r>
      <w:r w:rsidR="001041E7" w:rsidRPr="00B947F0">
        <w:rPr>
          <w:rFonts w:asciiTheme="majorHAnsi" w:hAnsiTheme="majorHAnsi"/>
          <w:b/>
          <w:color w:val="800000"/>
          <w:sz w:val="44"/>
          <w:szCs w:val="44"/>
        </w:rPr>
        <w:t>ash</w:t>
      </w:r>
      <w:r w:rsidR="001041E7">
        <w:rPr>
          <w:rFonts w:asciiTheme="majorHAnsi" w:hAnsiTheme="majorHAnsi"/>
          <w:b/>
          <w:color w:val="800000"/>
          <w:sz w:val="44"/>
          <w:szCs w:val="44"/>
        </w:rPr>
        <w:t>ForBusinessSolvency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 will be </w:t>
      </w:r>
      <w:r w:rsidR="00D42DB9">
        <w:rPr>
          <w:rFonts w:asciiTheme="majorHAnsi" w:hAnsiTheme="majorHAnsi"/>
          <w:color w:val="003366"/>
          <w:sz w:val="44"/>
          <w:szCs w:val="44"/>
        </w:rPr>
        <w:t xml:space="preserve">also be </w:t>
      </w:r>
      <w:r>
        <w:rPr>
          <w:rFonts w:asciiTheme="majorHAnsi" w:hAnsiTheme="majorHAnsi"/>
          <w:color w:val="003366"/>
          <w:sz w:val="44"/>
          <w:szCs w:val="44"/>
        </w:rPr>
        <w:t xml:space="preserve">forecast to grow by the same </w:t>
      </w:r>
      <w:r w:rsidR="00D42DB9">
        <w:rPr>
          <w:rFonts w:asciiTheme="majorHAnsi" w:hAnsiTheme="majorHAnsi"/>
          <w:color w:val="003366"/>
          <w:sz w:val="44"/>
          <w:szCs w:val="44"/>
        </w:rPr>
        <w:t>proportion</w:t>
      </w:r>
      <w:r>
        <w:rPr>
          <w:rFonts w:asciiTheme="majorHAnsi" w:hAnsiTheme="majorHAnsi"/>
          <w:color w:val="003366"/>
          <w:sz w:val="44"/>
          <w:szCs w:val="44"/>
        </w:rPr>
        <w:t>. For example, say now is time zero and the firm’s financial statements were just released, and you want</w:t>
      </w:r>
      <w:r w:rsidR="001041E7">
        <w:rPr>
          <w:rFonts w:asciiTheme="majorHAnsi" w:hAnsiTheme="majorHAnsi"/>
          <w:color w:val="003366"/>
          <w:sz w:val="44"/>
          <w:szCs w:val="44"/>
        </w:rPr>
        <w:t>ed</w:t>
      </w:r>
      <w:r>
        <w:rPr>
          <w:rFonts w:asciiTheme="majorHAnsi" w:hAnsiTheme="majorHAnsi"/>
          <w:color w:val="003366"/>
          <w:sz w:val="44"/>
          <w:szCs w:val="44"/>
        </w:rPr>
        <w:t xml:space="preserve"> to forecast cash next year at time 1, then:</w:t>
      </w:r>
    </w:p>
    <w:p w:rsidR="00175D19" w:rsidRDefault="001041E7" w:rsidP="00175D19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b/>
          <w:color w:val="800000"/>
          <w:sz w:val="44"/>
          <w:szCs w:val="44"/>
        </w:rPr>
        <w:t>C</w:t>
      </w:r>
      <w:r w:rsidRPr="00B947F0">
        <w:rPr>
          <w:rFonts w:asciiTheme="majorHAnsi" w:hAnsiTheme="majorHAnsi"/>
          <w:b/>
          <w:color w:val="800000"/>
          <w:sz w:val="44"/>
          <w:szCs w:val="44"/>
        </w:rPr>
        <w:t>ash</w:t>
      </w:r>
      <w:r>
        <w:rPr>
          <w:rFonts w:asciiTheme="majorHAnsi" w:hAnsiTheme="majorHAnsi"/>
          <w:b/>
          <w:color w:val="800000"/>
          <w:sz w:val="44"/>
          <w:szCs w:val="44"/>
        </w:rPr>
        <w:t>ForBusinessSolvency</w:t>
      </w:r>
      <w:r>
        <w:rPr>
          <w:rFonts w:asciiTheme="majorHAnsi" w:hAnsiTheme="majorHAnsi"/>
          <w:b/>
          <w:color w:val="800000"/>
          <w:sz w:val="44"/>
          <w:szCs w:val="44"/>
        </w:rPr>
        <w:t>1</w:t>
      </w:r>
      <w:r w:rsidR="00175D19">
        <w:rPr>
          <w:rFonts w:asciiTheme="majorHAnsi" w:hAnsiTheme="majorHAnsi"/>
          <w:color w:val="003366"/>
          <w:sz w:val="44"/>
          <w:szCs w:val="44"/>
        </w:rPr>
        <w:t xml:space="preserve"> = Revenue1*</w:t>
      </w:r>
      <w:r w:rsidR="00CC6A78">
        <w:rPr>
          <w:rFonts w:asciiTheme="majorHAnsi" w:hAnsiTheme="majorHAnsi"/>
          <w:color w:val="003366"/>
          <w:sz w:val="44"/>
          <w:szCs w:val="44"/>
        </w:rPr>
        <w:t>(</w:t>
      </w:r>
      <w:r w:rsidRPr="001041E7">
        <w:rPr>
          <w:rFonts w:asciiTheme="majorHAnsi" w:hAnsiTheme="majorHAnsi"/>
          <w:color w:val="003366"/>
          <w:sz w:val="44"/>
          <w:szCs w:val="44"/>
        </w:rPr>
        <w:t>CashForBusinessSolvency</w:t>
      </w:r>
      <w:r w:rsidR="00175D19">
        <w:rPr>
          <w:rFonts w:asciiTheme="majorHAnsi" w:hAnsiTheme="majorHAnsi"/>
          <w:color w:val="003366"/>
          <w:sz w:val="44"/>
          <w:szCs w:val="44"/>
        </w:rPr>
        <w:t>0/Revenue0)</w:t>
      </w:r>
    </w:p>
    <w:p w:rsidR="001041E7" w:rsidRDefault="001041E7" w:rsidP="00175D19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Cash1 = Cash0 + </w:t>
      </w:r>
      <w:proofErr w:type="spellStart"/>
      <w:r w:rsidRPr="00B947F0">
        <w:rPr>
          <w:rFonts w:asciiTheme="majorHAnsi" w:hAnsiTheme="majorHAnsi"/>
          <w:b/>
          <w:color w:val="800000"/>
          <w:sz w:val="44"/>
          <w:szCs w:val="44"/>
        </w:rPr>
        <w:t>Δ</w:t>
      </w:r>
      <w:r>
        <w:rPr>
          <w:rFonts w:asciiTheme="majorHAnsi" w:hAnsiTheme="majorHAnsi"/>
          <w:b/>
          <w:color w:val="800000"/>
          <w:sz w:val="44"/>
          <w:szCs w:val="44"/>
        </w:rPr>
        <w:t>C</w:t>
      </w:r>
      <w:r w:rsidRPr="00B947F0">
        <w:rPr>
          <w:rFonts w:asciiTheme="majorHAnsi" w:hAnsiTheme="majorHAnsi"/>
          <w:b/>
          <w:color w:val="800000"/>
          <w:sz w:val="44"/>
          <w:szCs w:val="44"/>
        </w:rPr>
        <w:t>ash</w:t>
      </w:r>
      <w:r>
        <w:rPr>
          <w:rFonts w:asciiTheme="majorHAnsi" w:hAnsiTheme="majorHAnsi"/>
          <w:b/>
          <w:color w:val="800000"/>
          <w:sz w:val="44"/>
          <w:szCs w:val="44"/>
        </w:rPr>
        <w:t>ForBusinessSolvency</w:t>
      </w:r>
      <w:proofErr w:type="spellEnd"/>
      <w:r>
        <w:rPr>
          <w:rFonts w:asciiTheme="majorHAnsi" w:hAnsiTheme="majorHAnsi"/>
          <w:b/>
          <w:color w:val="800000"/>
          <w:sz w:val="44"/>
          <w:szCs w:val="44"/>
        </w:rPr>
        <w:t xml:space="preserve"> </w:t>
      </w:r>
      <w:r>
        <w:rPr>
          <w:rFonts w:asciiTheme="majorHAnsi" w:hAnsiTheme="majorHAnsi"/>
          <w:b/>
          <w:color w:val="800000"/>
          <w:sz w:val="44"/>
          <w:szCs w:val="44"/>
        </w:rPr>
        <w:t xml:space="preserve">+ </w:t>
      </w:r>
      <w:proofErr w:type="spellStart"/>
      <w:r w:rsidRPr="00B947F0">
        <w:rPr>
          <w:rFonts w:asciiTheme="majorHAnsi" w:hAnsiTheme="majorHAnsi"/>
          <w:b/>
          <w:color w:val="800000"/>
          <w:sz w:val="44"/>
          <w:szCs w:val="44"/>
        </w:rPr>
        <w:t>Δ</w:t>
      </w:r>
      <w:r>
        <w:rPr>
          <w:rFonts w:asciiTheme="majorHAnsi" w:hAnsiTheme="majorHAnsi"/>
          <w:b/>
          <w:color w:val="800000"/>
          <w:sz w:val="44"/>
          <w:szCs w:val="44"/>
        </w:rPr>
        <w:t>ExcessCash</w:t>
      </w:r>
      <w:proofErr w:type="spellEnd"/>
    </w:p>
    <w:p w:rsidR="00750E95" w:rsidRDefault="001041E7" w:rsidP="002562EC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Where </w:t>
      </w:r>
      <w:proofErr w:type="spellStart"/>
      <w:r w:rsidRPr="00B947F0">
        <w:rPr>
          <w:rFonts w:asciiTheme="majorHAnsi" w:hAnsiTheme="majorHAnsi"/>
          <w:b/>
          <w:color w:val="800000"/>
          <w:sz w:val="44"/>
          <w:szCs w:val="44"/>
        </w:rPr>
        <w:t>Δ</w:t>
      </w:r>
      <w:r>
        <w:rPr>
          <w:rFonts w:asciiTheme="majorHAnsi" w:hAnsiTheme="majorHAnsi"/>
          <w:b/>
          <w:color w:val="800000"/>
          <w:sz w:val="44"/>
          <w:szCs w:val="44"/>
        </w:rPr>
        <w:t>ExcessCash</w:t>
      </w:r>
      <w:proofErr w:type="spellEnd"/>
      <w:r>
        <w:rPr>
          <w:rFonts w:asciiTheme="majorHAnsi" w:hAnsiTheme="majorHAnsi"/>
          <w:b/>
          <w:color w:val="800000"/>
          <w:sz w:val="44"/>
          <w:szCs w:val="44"/>
        </w:rPr>
        <w:t xml:space="preserve"> = </w:t>
      </w:r>
      <w:proofErr w:type="spellStart"/>
      <w:r w:rsidRPr="00BE6581">
        <w:rPr>
          <w:rFonts w:asciiTheme="majorHAnsi" w:hAnsiTheme="majorHAnsi"/>
          <w:b/>
          <w:color w:val="003366"/>
          <w:sz w:val="44"/>
          <w:szCs w:val="44"/>
        </w:rPr>
        <w:t>ΔCash</w:t>
      </w:r>
      <w:proofErr w:type="spellEnd"/>
      <w:r>
        <w:rPr>
          <w:rFonts w:asciiTheme="majorHAnsi" w:hAnsiTheme="majorHAnsi"/>
          <w:b/>
          <w:color w:val="003366"/>
          <w:sz w:val="44"/>
          <w:szCs w:val="44"/>
        </w:rPr>
        <w:t xml:space="preserve"> </w:t>
      </w:r>
      <w:r w:rsidRPr="001041E7">
        <w:rPr>
          <w:rFonts w:asciiTheme="majorHAnsi" w:hAnsiTheme="majorHAnsi"/>
          <w:color w:val="003366"/>
          <w:sz w:val="44"/>
          <w:szCs w:val="44"/>
        </w:rPr>
        <w:t>-</w:t>
      </w:r>
      <w:r>
        <w:rPr>
          <w:rFonts w:asciiTheme="majorHAnsi" w:hAnsiTheme="majorHAnsi"/>
          <w:b/>
          <w:color w:val="003366"/>
          <w:sz w:val="44"/>
          <w:szCs w:val="44"/>
        </w:rPr>
        <w:t xml:space="preserve"> </w:t>
      </w:r>
      <w:proofErr w:type="spellStart"/>
      <w:r w:rsidRPr="00B947F0">
        <w:rPr>
          <w:rFonts w:asciiTheme="majorHAnsi" w:hAnsiTheme="majorHAnsi"/>
          <w:b/>
          <w:color w:val="800000"/>
          <w:sz w:val="44"/>
          <w:szCs w:val="44"/>
        </w:rPr>
        <w:t>Δ</w:t>
      </w:r>
      <w:r>
        <w:rPr>
          <w:rFonts w:asciiTheme="majorHAnsi" w:hAnsiTheme="majorHAnsi"/>
          <w:b/>
          <w:color w:val="800000"/>
          <w:sz w:val="44"/>
          <w:szCs w:val="44"/>
        </w:rPr>
        <w:t>C</w:t>
      </w:r>
      <w:r w:rsidRPr="00B947F0">
        <w:rPr>
          <w:rFonts w:asciiTheme="majorHAnsi" w:hAnsiTheme="majorHAnsi"/>
          <w:b/>
          <w:color w:val="800000"/>
          <w:sz w:val="44"/>
          <w:szCs w:val="44"/>
        </w:rPr>
        <w:t>ash</w:t>
      </w:r>
      <w:r>
        <w:rPr>
          <w:rFonts w:asciiTheme="majorHAnsi" w:hAnsiTheme="majorHAnsi"/>
          <w:b/>
          <w:color w:val="800000"/>
          <w:sz w:val="44"/>
          <w:szCs w:val="44"/>
        </w:rPr>
        <w:t>ForBusinessSolvency</w:t>
      </w:r>
      <w:proofErr w:type="spellEnd"/>
    </w:p>
    <w:p w:rsidR="001041E7" w:rsidRDefault="009F7615" w:rsidP="001041E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Negative </w:t>
      </w:r>
      <w:proofErr w:type="spellStart"/>
      <w:r w:rsidR="001041E7">
        <w:rPr>
          <w:rFonts w:asciiTheme="majorHAnsi" w:hAnsiTheme="majorHAnsi"/>
          <w:b/>
          <w:i/>
          <w:color w:val="800000"/>
          <w:sz w:val="72"/>
          <w:szCs w:val="72"/>
        </w:rPr>
        <w:t>ExcessC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ash</w:t>
      </w:r>
      <w:proofErr w:type="spellEnd"/>
      <w:r w:rsidR="00F55362">
        <w:rPr>
          <w:rFonts w:asciiTheme="majorHAnsi" w:hAnsiTheme="majorHAnsi"/>
          <w:b/>
          <w:i/>
          <w:color w:val="800000"/>
          <w:sz w:val="72"/>
          <w:szCs w:val="72"/>
        </w:rPr>
        <w:t>: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Funding Shortfall</w:t>
      </w:r>
    </w:p>
    <w:p w:rsidR="00F55362" w:rsidRDefault="00F55362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proofErr w:type="spellStart"/>
      <w:r w:rsidRPr="001041E7">
        <w:rPr>
          <w:rFonts w:asciiTheme="majorHAnsi" w:hAnsiTheme="majorHAnsi"/>
          <w:color w:val="003366"/>
          <w:sz w:val="44"/>
          <w:szCs w:val="44"/>
        </w:rPr>
        <w:t>ExcessCash</w:t>
      </w:r>
      <w:proofErr w:type="spellEnd"/>
      <w:r w:rsidRPr="001041E7">
        <w:rPr>
          <w:rFonts w:asciiTheme="majorHAnsi" w:hAnsiTheme="majorHAnsi"/>
          <w:color w:val="003366"/>
          <w:sz w:val="44"/>
          <w:szCs w:val="44"/>
        </w:rPr>
        <w:t xml:space="preserve"> </w:t>
      </w:r>
      <w:r>
        <w:rPr>
          <w:rFonts w:asciiTheme="majorHAnsi" w:hAnsiTheme="majorHAnsi"/>
          <w:color w:val="003366"/>
          <w:sz w:val="44"/>
          <w:szCs w:val="44"/>
        </w:rPr>
        <w:t xml:space="preserve">may </w:t>
      </w:r>
      <w:r w:rsidRPr="001041E7">
        <w:rPr>
          <w:rFonts w:asciiTheme="majorHAnsi" w:hAnsiTheme="majorHAnsi"/>
          <w:color w:val="003366"/>
          <w:sz w:val="44"/>
          <w:szCs w:val="44"/>
        </w:rPr>
        <w:t>be negative</w:t>
      </w:r>
      <w:r>
        <w:rPr>
          <w:rFonts w:asciiTheme="majorHAnsi" w:hAnsiTheme="majorHAnsi"/>
          <w:color w:val="003366"/>
          <w:sz w:val="44"/>
          <w:szCs w:val="44"/>
        </w:rPr>
        <w:t xml:space="preserve"> for high growth firms with </w:t>
      </w:r>
      <w:r w:rsidR="001041E7">
        <w:rPr>
          <w:rFonts w:asciiTheme="majorHAnsi" w:hAnsiTheme="majorHAnsi"/>
          <w:color w:val="003366"/>
          <w:sz w:val="44"/>
          <w:szCs w:val="44"/>
        </w:rPr>
        <w:t xml:space="preserve">high </w:t>
      </w:r>
      <w:proofErr w:type="spellStart"/>
      <w:r w:rsidR="001041E7">
        <w:rPr>
          <w:rFonts w:asciiTheme="majorHAnsi" w:hAnsiTheme="majorHAnsi"/>
          <w:color w:val="003366"/>
          <w:sz w:val="44"/>
          <w:szCs w:val="44"/>
        </w:rPr>
        <w:t>CapEx</w:t>
      </w:r>
      <w:proofErr w:type="spellEnd"/>
      <w:r w:rsidR="001041E7">
        <w:rPr>
          <w:rFonts w:asciiTheme="majorHAnsi" w:hAnsiTheme="majorHAnsi"/>
          <w:color w:val="003366"/>
          <w:sz w:val="44"/>
          <w:szCs w:val="44"/>
        </w:rPr>
        <w:t xml:space="preserve"> and </w:t>
      </w:r>
      <w:r w:rsidR="001041E7" w:rsidRPr="00801271">
        <w:rPr>
          <w:rFonts w:asciiTheme="majorHAnsi" w:hAnsiTheme="majorHAnsi"/>
          <w:color w:val="003366"/>
          <w:sz w:val="44"/>
          <w:szCs w:val="44"/>
        </w:rPr>
        <w:t>ΔNW</w:t>
      </w:r>
      <w:r w:rsidR="001041E7">
        <w:rPr>
          <w:rFonts w:asciiTheme="majorHAnsi" w:hAnsiTheme="majorHAnsi"/>
          <w:color w:val="003366"/>
          <w:sz w:val="44"/>
          <w:szCs w:val="44"/>
        </w:rPr>
        <w:t>C</w:t>
      </w:r>
      <w:r>
        <w:rPr>
          <w:rFonts w:asciiTheme="majorHAnsi" w:hAnsiTheme="majorHAnsi"/>
          <w:color w:val="003366"/>
          <w:sz w:val="44"/>
          <w:szCs w:val="44"/>
        </w:rPr>
        <w:t xml:space="preserve">, or firms that are paying out </w:t>
      </w:r>
      <w:r w:rsidR="00CC6A78">
        <w:rPr>
          <w:rFonts w:asciiTheme="majorHAnsi" w:hAnsiTheme="majorHAnsi"/>
          <w:color w:val="003366"/>
          <w:sz w:val="44"/>
          <w:szCs w:val="44"/>
        </w:rPr>
        <w:t>large cash flows to their</w:t>
      </w:r>
      <w:r>
        <w:rPr>
          <w:rFonts w:asciiTheme="majorHAnsi" w:hAnsiTheme="majorHAnsi"/>
          <w:color w:val="003366"/>
          <w:sz w:val="44"/>
          <w:szCs w:val="44"/>
        </w:rPr>
        <w:t xml:space="preserve"> debt and equity holders</w:t>
      </w:r>
      <w:r w:rsidR="001041E7" w:rsidRPr="001041E7">
        <w:rPr>
          <w:rFonts w:asciiTheme="majorHAnsi" w:hAnsiTheme="majorHAnsi"/>
          <w:color w:val="003366"/>
          <w:sz w:val="44"/>
          <w:szCs w:val="44"/>
        </w:rPr>
        <w:t>.</w:t>
      </w:r>
      <w:r w:rsidR="001041E7">
        <w:rPr>
          <w:rFonts w:asciiTheme="majorHAnsi" w:hAnsiTheme="majorHAnsi"/>
          <w:color w:val="003366"/>
          <w:sz w:val="44"/>
          <w:szCs w:val="44"/>
        </w:rPr>
        <w:t xml:space="preserve"> </w:t>
      </w:r>
    </w:p>
    <w:p w:rsidR="00D32845" w:rsidRDefault="00F55362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Negative </w:t>
      </w:r>
      <w:proofErr w:type="spellStart"/>
      <w:r w:rsidRPr="001041E7">
        <w:rPr>
          <w:rFonts w:asciiTheme="majorHAnsi" w:hAnsiTheme="majorHAnsi"/>
          <w:color w:val="003366"/>
          <w:sz w:val="44"/>
          <w:szCs w:val="44"/>
        </w:rPr>
        <w:t>ExcessCash</w:t>
      </w:r>
      <w:proofErr w:type="spellEnd"/>
      <w:r w:rsidRPr="001041E7">
        <w:rPr>
          <w:rFonts w:asciiTheme="majorHAnsi" w:hAnsiTheme="majorHAnsi"/>
          <w:color w:val="003366"/>
          <w:sz w:val="44"/>
          <w:szCs w:val="44"/>
        </w:rPr>
        <w:t xml:space="preserve"> </w:t>
      </w:r>
      <w:r w:rsidR="001041E7">
        <w:rPr>
          <w:rFonts w:asciiTheme="majorHAnsi" w:hAnsiTheme="majorHAnsi"/>
          <w:color w:val="003366"/>
          <w:sz w:val="44"/>
          <w:szCs w:val="44"/>
        </w:rPr>
        <w:t xml:space="preserve">indicates a funding shortfall. You can’t leave the balance sheet amount </w:t>
      </w:r>
      <w:proofErr w:type="spellStart"/>
      <w:r w:rsidR="001041E7" w:rsidRPr="001041E7">
        <w:rPr>
          <w:rFonts w:asciiTheme="majorHAnsi" w:hAnsiTheme="majorHAnsi"/>
          <w:color w:val="003366"/>
          <w:sz w:val="44"/>
          <w:szCs w:val="44"/>
        </w:rPr>
        <w:t>ExcessCash</w:t>
      </w:r>
      <w:proofErr w:type="spellEnd"/>
      <w:r w:rsidR="001041E7">
        <w:rPr>
          <w:rFonts w:asciiTheme="majorHAnsi" w:hAnsiTheme="majorHAnsi"/>
          <w:color w:val="003366"/>
          <w:sz w:val="44"/>
          <w:szCs w:val="44"/>
        </w:rPr>
        <w:t xml:space="preserve"> as a negative number</w:t>
      </w:r>
      <w:r w:rsidR="00CC6A78">
        <w:rPr>
          <w:rFonts w:asciiTheme="majorHAnsi" w:hAnsiTheme="majorHAnsi"/>
          <w:color w:val="003366"/>
          <w:sz w:val="44"/>
          <w:szCs w:val="44"/>
        </w:rPr>
        <w:t>,</w:t>
      </w:r>
      <w:r w:rsidR="001041E7">
        <w:rPr>
          <w:rFonts w:asciiTheme="majorHAnsi" w:hAnsiTheme="majorHAnsi"/>
          <w:color w:val="003366"/>
          <w:sz w:val="44"/>
          <w:szCs w:val="44"/>
        </w:rPr>
        <w:t xml:space="preserve"> so often ‘if’ statements are used to make overdrafts equal to </w:t>
      </w:r>
      <w:proofErr w:type="spellStart"/>
      <w:r w:rsidR="001041E7" w:rsidRPr="001041E7">
        <w:rPr>
          <w:rFonts w:asciiTheme="majorHAnsi" w:hAnsiTheme="majorHAnsi"/>
          <w:color w:val="003366"/>
          <w:sz w:val="44"/>
          <w:szCs w:val="44"/>
        </w:rPr>
        <w:t>ExcessCash</w:t>
      </w:r>
      <w:proofErr w:type="spellEnd"/>
      <w:r w:rsidR="001041E7">
        <w:rPr>
          <w:rFonts w:asciiTheme="majorHAnsi" w:hAnsiTheme="majorHAnsi"/>
          <w:color w:val="003366"/>
          <w:sz w:val="44"/>
          <w:szCs w:val="44"/>
        </w:rPr>
        <w:t xml:space="preserve"> multiplied by minus one if </w:t>
      </w:r>
      <w:proofErr w:type="spellStart"/>
      <w:r w:rsidR="001041E7" w:rsidRPr="001041E7">
        <w:rPr>
          <w:rFonts w:asciiTheme="majorHAnsi" w:hAnsiTheme="majorHAnsi"/>
          <w:color w:val="003366"/>
          <w:sz w:val="44"/>
          <w:szCs w:val="44"/>
        </w:rPr>
        <w:t>ExcessCash</w:t>
      </w:r>
      <w:proofErr w:type="spellEnd"/>
      <w:r w:rsidR="001041E7">
        <w:rPr>
          <w:rFonts w:asciiTheme="majorHAnsi" w:hAnsiTheme="majorHAnsi"/>
          <w:color w:val="003366"/>
          <w:sz w:val="44"/>
          <w:szCs w:val="44"/>
        </w:rPr>
        <w:t xml:space="preserve"> is negative, and make the </w:t>
      </w:r>
      <w:proofErr w:type="spellStart"/>
      <w:r w:rsidR="001041E7">
        <w:rPr>
          <w:rFonts w:asciiTheme="majorHAnsi" w:hAnsiTheme="majorHAnsi"/>
          <w:color w:val="003366"/>
          <w:sz w:val="44"/>
          <w:szCs w:val="44"/>
        </w:rPr>
        <w:t>ExcessCash</w:t>
      </w:r>
      <w:proofErr w:type="spellEnd"/>
      <w:r w:rsidR="001041E7">
        <w:rPr>
          <w:rFonts w:asciiTheme="majorHAnsi" w:hAnsiTheme="majorHAnsi"/>
          <w:color w:val="003366"/>
          <w:sz w:val="44"/>
          <w:szCs w:val="44"/>
        </w:rPr>
        <w:t xml:space="preserve"> show zero rather than the negative number. </w:t>
      </w:r>
    </w:p>
    <w:p w:rsidR="001041E7" w:rsidRPr="00F55362" w:rsidRDefault="001041E7" w:rsidP="00E343ED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>
        <w:rPr>
          <w:rFonts w:asciiTheme="majorHAnsi" w:hAnsiTheme="majorHAnsi"/>
          <w:color w:val="003366"/>
          <w:sz w:val="44"/>
          <w:szCs w:val="44"/>
        </w:rPr>
        <w:t xml:space="preserve">But be aware that overdrafts are an expensive way to fund a business due </w:t>
      </w:r>
      <w:r w:rsidR="00F55362">
        <w:rPr>
          <w:rFonts w:asciiTheme="majorHAnsi" w:hAnsiTheme="majorHAnsi"/>
          <w:color w:val="003366"/>
          <w:sz w:val="44"/>
          <w:szCs w:val="44"/>
        </w:rPr>
        <w:t>to</w:t>
      </w:r>
      <w:r>
        <w:rPr>
          <w:rFonts w:asciiTheme="majorHAnsi" w:hAnsiTheme="majorHAnsi"/>
          <w:color w:val="003366"/>
          <w:sz w:val="44"/>
          <w:szCs w:val="44"/>
        </w:rPr>
        <w:t xml:space="preserve"> their high interest rate</w:t>
      </w:r>
      <w:r w:rsidR="00F55362">
        <w:rPr>
          <w:rFonts w:asciiTheme="majorHAnsi" w:hAnsiTheme="majorHAnsi"/>
          <w:color w:val="003366"/>
          <w:sz w:val="44"/>
          <w:szCs w:val="44"/>
        </w:rPr>
        <w:t>.</w:t>
      </w:r>
      <w:r>
        <w:rPr>
          <w:rFonts w:asciiTheme="majorHAnsi" w:hAnsiTheme="majorHAnsi"/>
          <w:color w:val="003366"/>
          <w:sz w:val="44"/>
          <w:szCs w:val="44"/>
        </w:rPr>
        <w:t xml:space="preserve"> </w:t>
      </w:r>
      <w:r w:rsidR="00F55362">
        <w:rPr>
          <w:rFonts w:asciiTheme="majorHAnsi" w:hAnsiTheme="majorHAnsi"/>
          <w:color w:val="003366"/>
          <w:sz w:val="44"/>
          <w:szCs w:val="44"/>
        </w:rPr>
        <w:t>S</w:t>
      </w:r>
      <w:r>
        <w:rPr>
          <w:rFonts w:asciiTheme="majorHAnsi" w:hAnsiTheme="majorHAnsi"/>
          <w:color w:val="003366"/>
          <w:sz w:val="44"/>
          <w:szCs w:val="44"/>
        </w:rPr>
        <w:t>o rather than forecast huge overdrafts, it’s best to increase the forecast amount of longer term debt funding such as loans or bonds</w:t>
      </w:r>
      <w:r w:rsidR="00CC6A78">
        <w:rPr>
          <w:rFonts w:asciiTheme="majorHAnsi" w:hAnsiTheme="majorHAnsi"/>
          <w:color w:val="003366"/>
          <w:sz w:val="44"/>
          <w:szCs w:val="44"/>
        </w:rPr>
        <w:t xml:space="preserve"> until overdrafts are smaller</w:t>
      </w:r>
      <w:r>
        <w:rPr>
          <w:rFonts w:asciiTheme="majorHAnsi" w:hAnsiTheme="majorHAnsi"/>
          <w:color w:val="003366"/>
          <w:sz w:val="44"/>
          <w:szCs w:val="44"/>
        </w:rPr>
        <w:t xml:space="preserve">, or decrease equity payouts such as dividends and buybacks, or increase equity raisings through rights issues, for example, which boost </w:t>
      </w:r>
      <w:proofErr w:type="spellStart"/>
      <w:r>
        <w:rPr>
          <w:rFonts w:asciiTheme="majorHAnsi" w:hAnsiTheme="majorHAnsi"/>
          <w:color w:val="003366"/>
          <w:sz w:val="44"/>
          <w:szCs w:val="44"/>
        </w:rPr>
        <w:t>ContributedEquity</w:t>
      </w:r>
      <w:proofErr w:type="spellEnd"/>
      <w:r>
        <w:rPr>
          <w:rFonts w:asciiTheme="majorHAnsi" w:hAnsiTheme="majorHAnsi"/>
          <w:color w:val="003366"/>
          <w:sz w:val="44"/>
          <w:szCs w:val="44"/>
        </w:rPr>
        <w:t xml:space="preserve">. </w:t>
      </w:r>
    </w:p>
    <w:sectPr w:rsidR="001041E7" w:rsidRPr="00F55362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2DA" w:rsidRDefault="002462DA" w:rsidP="00A656FD">
      <w:r>
        <w:separator/>
      </w:r>
    </w:p>
  </w:endnote>
  <w:endnote w:type="continuationSeparator" w:id="0">
    <w:p w:rsidR="002462DA" w:rsidRDefault="002462DA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FF45DF" w:rsidRPr="00A656FD" w:rsidRDefault="00FF45D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6C3918">
          <w:rPr>
            <w:i/>
            <w:noProof/>
            <w:sz w:val="36"/>
            <w:szCs w:val="36"/>
          </w:rPr>
          <w:t>13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FF45DF" w:rsidRPr="00A656FD" w:rsidRDefault="00FF45D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2DA" w:rsidRDefault="002462DA" w:rsidP="00A656FD">
      <w:r>
        <w:separator/>
      </w:r>
    </w:p>
  </w:footnote>
  <w:footnote w:type="continuationSeparator" w:id="0">
    <w:p w:rsidR="002462DA" w:rsidRDefault="002462DA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66D"/>
    <w:multiLevelType w:val="hybridMultilevel"/>
    <w:tmpl w:val="A3AA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CF9"/>
    <w:multiLevelType w:val="hybridMultilevel"/>
    <w:tmpl w:val="BC0A5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4DE0"/>
    <w:multiLevelType w:val="hybridMultilevel"/>
    <w:tmpl w:val="A886C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0800"/>
    <w:multiLevelType w:val="hybridMultilevel"/>
    <w:tmpl w:val="3AA675A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760FE"/>
    <w:multiLevelType w:val="hybridMultilevel"/>
    <w:tmpl w:val="9BA8F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5365A"/>
    <w:multiLevelType w:val="hybridMultilevel"/>
    <w:tmpl w:val="D4568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2318D"/>
    <w:multiLevelType w:val="hybridMultilevel"/>
    <w:tmpl w:val="39C21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B6170"/>
    <w:multiLevelType w:val="hybridMultilevel"/>
    <w:tmpl w:val="AD148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90D6B"/>
    <w:multiLevelType w:val="hybridMultilevel"/>
    <w:tmpl w:val="ED706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959DD"/>
    <w:multiLevelType w:val="hybridMultilevel"/>
    <w:tmpl w:val="9D8EE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4A64"/>
    <w:multiLevelType w:val="hybridMultilevel"/>
    <w:tmpl w:val="2E083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25021"/>
    <w:multiLevelType w:val="hybridMultilevel"/>
    <w:tmpl w:val="7EAE7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A607D"/>
    <w:multiLevelType w:val="hybridMultilevel"/>
    <w:tmpl w:val="1F6A6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C0481"/>
    <w:multiLevelType w:val="hybridMultilevel"/>
    <w:tmpl w:val="D32E4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32072"/>
    <w:multiLevelType w:val="hybridMultilevel"/>
    <w:tmpl w:val="4FBA0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B15D5"/>
    <w:multiLevelType w:val="hybridMultilevel"/>
    <w:tmpl w:val="8A42A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34BF2"/>
    <w:multiLevelType w:val="hybridMultilevel"/>
    <w:tmpl w:val="85A8E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22E4F"/>
    <w:multiLevelType w:val="hybridMultilevel"/>
    <w:tmpl w:val="9C1C8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1"/>
  </w:num>
  <w:num w:numId="5">
    <w:abstractNumId w:val="17"/>
  </w:num>
  <w:num w:numId="6">
    <w:abstractNumId w:val="4"/>
  </w:num>
  <w:num w:numId="7">
    <w:abstractNumId w:val="0"/>
  </w:num>
  <w:num w:numId="8">
    <w:abstractNumId w:val="9"/>
  </w:num>
  <w:num w:numId="9">
    <w:abstractNumId w:val="16"/>
  </w:num>
  <w:num w:numId="10">
    <w:abstractNumId w:val="14"/>
  </w:num>
  <w:num w:numId="11">
    <w:abstractNumId w:val="13"/>
  </w:num>
  <w:num w:numId="12">
    <w:abstractNumId w:val="6"/>
  </w:num>
  <w:num w:numId="13">
    <w:abstractNumId w:val="1"/>
  </w:num>
  <w:num w:numId="14">
    <w:abstractNumId w:val="5"/>
  </w:num>
  <w:num w:numId="15">
    <w:abstractNumId w:val="10"/>
  </w:num>
  <w:num w:numId="16">
    <w:abstractNumId w:val="3"/>
  </w:num>
  <w:num w:numId="17">
    <w:abstractNumId w:val="7"/>
  </w:num>
  <w:num w:numId="1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2F4"/>
    <w:rsid w:val="00004DF1"/>
    <w:rsid w:val="00005E44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34A7"/>
    <w:rsid w:val="00014C37"/>
    <w:rsid w:val="0001677E"/>
    <w:rsid w:val="0001730D"/>
    <w:rsid w:val="0002080B"/>
    <w:rsid w:val="00020C9E"/>
    <w:rsid w:val="00020F2B"/>
    <w:rsid w:val="000225FD"/>
    <w:rsid w:val="00023385"/>
    <w:rsid w:val="0002447A"/>
    <w:rsid w:val="0002481A"/>
    <w:rsid w:val="00024C4D"/>
    <w:rsid w:val="0002526B"/>
    <w:rsid w:val="0002603E"/>
    <w:rsid w:val="00026EDD"/>
    <w:rsid w:val="00033185"/>
    <w:rsid w:val="000343CD"/>
    <w:rsid w:val="00034951"/>
    <w:rsid w:val="00034BC4"/>
    <w:rsid w:val="00034C18"/>
    <w:rsid w:val="00036113"/>
    <w:rsid w:val="00036BCA"/>
    <w:rsid w:val="00037286"/>
    <w:rsid w:val="000375F9"/>
    <w:rsid w:val="00037E75"/>
    <w:rsid w:val="000427DD"/>
    <w:rsid w:val="000436E9"/>
    <w:rsid w:val="00043B30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4BA"/>
    <w:rsid w:val="00055E11"/>
    <w:rsid w:val="0006087D"/>
    <w:rsid w:val="00065EE4"/>
    <w:rsid w:val="000665A5"/>
    <w:rsid w:val="0006779F"/>
    <w:rsid w:val="00070C6B"/>
    <w:rsid w:val="00071D2B"/>
    <w:rsid w:val="00072B25"/>
    <w:rsid w:val="00075233"/>
    <w:rsid w:val="00075871"/>
    <w:rsid w:val="000759A5"/>
    <w:rsid w:val="000760AA"/>
    <w:rsid w:val="000761AD"/>
    <w:rsid w:val="00081997"/>
    <w:rsid w:val="00083123"/>
    <w:rsid w:val="00083173"/>
    <w:rsid w:val="0008324B"/>
    <w:rsid w:val="00083A35"/>
    <w:rsid w:val="0008532B"/>
    <w:rsid w:val="0008623B"/>
    <w:rsid w:val="000904AF"/>
    <w:rsid w:val="000907EF"/>
    <w:rsid w:val="00091086"/>
    <w:rsid w:val="00091AE8"/>
    <w:rsid w:val="00091EA0"/>
    <w:rsid w:val="00092585"/>
    <w:rsid w:val="00093FEE"/>
    <w:rsid w:val="0009744B"/>
    <w:rsid w:val="00097D1E"/>
    <w:rsid w:val="000A0802"/>
    <w:rsid w:val="000A1BA6"/>
    <w:rsid w:val="000A1F9C"/>
    <w:rsid w:val="000A2558"/>
    <w:rsid w:val="000A26C4"/>
    <w:rsid w:val="000A51E0"/>
    <w:rsid w:val="000A5DDA"/>
    <w:rsid w:val="000A628E"/>
    <w:rsid w:val="000A76DF"/>
    <w:rsid w:val="000B3A6C"/>
    <w:rsid w:val="000B3CD1"/>
    <w:rsid w:val="000B3D5C"/>
    <w:rsid w:val="000B40EC"/>
    <w:rsid w:val="000B40FD"/>
    <w:rsid w:val="000B49CE"/>
    <w:rsid w:val="000B787C"/>
    <w:rsid w:val="000C1FC8"/>
    <w:rsid w:val="000C23B7"/>
    <w:rsid w:val="000C2965"/>
    <w:rsid w:val="000C2C56"/>
    <w:rsid w:val="000C4479"/>
    <w:rsid w:val="000C586B"/>
    <w:rsid w:val="000C5D2F"/>
    <w:rsid w:val="000C6250"/>
    <w:rsid w:val="000D24DF"/>
    <w:rsid w:val="000D324D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F3234"/>
    <w:rsid w:val="000F3FDE"/>
    <w:rsid w:val="000F4264"/>
    <w:rsid w:val="000F4329"/>
    <w:rsid w:val="000F578F"/>
    <w:rsid w:val="000F59E2"/>
    <w:rsid w:val="000F66D4"/>
    <w:rsid w:val="000F739E"/>
    <w:rsid w:val="00101D61"/>
    <w:rsid w:val="00102531"/>
    <w:rsid w:val="0010359D"/>
    <w:rsid w:val="00103B0B"/>
    <w:rsid w:val="001041E7"/>
    <w:rsid w:val="00104786"/>
    <w:rsid w:val="00104CA6"/>
    <w:rsid w:val="00107E24"/>
    <w:rsid w:val="00111851"/>
    <w:rsid w:val="00112B84"/>
    <w:rsid w:val="00113324"/>
    <w:rsid w:val="001136E2"/>
    <w:rsid w:val="001142D6"/>
    <w:rsid w:val="001158C0"/>
    <w:rsid w:val="001168FB"/>
    <w:rsid w:val="00120534"/>
    <w:rsid w:val="00121CEC"/>
    <w:rsid w:val="0012215A"/>
    <w:rsid w:val="001229E1"/>
    <w:rsid w:val="00122D1B"/>
    <w:rsid w:val="00123516"/>
    <w:rsid w:val="001246F0"/>
    <w:rsid w:val="00124768"/>
    <w:rsid w:val="00125CDC"/>
    <w:rsid w:val="001262FE"/>
    <w:rsid w:val="0013028A"/>
    <w:rsid w:val="0013150D"/>
    <w:rsid w:val="00131BC8"/>
    <w:rsid w:val="00131E6C"/>
    <w:rsid w:val="00132BFF"/>
    <w:rsid w:val="00132E87"/>
    <w:rsid w:val="001361E8"/>
    <w:rsid w:val="0013695C"/>
    <w:rsid w:val="00136B4D"/>
    <w:rsid w:val="00137E0D"/>
    <w:rsid w:val="001437B0"/>
    <w:rsid w:val="00145850"/>
    <w:rsid w:val="00146612"/>
    <w:rsid w:val="00146C45"/>
    <w:rsid w:val="00146E8A"/>
    <w:rsid w:val="00151D1F"/>
    <w:rsid w:val="00151FC2"/>
    <w:rsid w:val="00152755"/>
    <w:rsid w:val="001531A9"/>
    <w:rsid w:val="001545BA"/>
    <w:rsid w:val="0015616E"/>
    <w:rsid w:val="00157BD2"/>
    <w:rsid w:val="00157C08"/>
    <w:rsid w:val="00160899"/>
    <w:rsid w:val="00161964"/>
    <w:rsid w:val="00161A17"/>
    <w:rsid w:val="00162C36"/>
    <w:rsid w:val="001632C3"/>
    <w:rsid w:val="00163746"/>
    <w:rsid w:val="0016413E"/>
    <w:rsid w:val="001648DD"/>
    <w:rsid w:val="001660AF"/>
    <w:rsid w:val="00166720"/>
    <w:rsid w:val="00170E3E"/>
    <w:rsid w:val="00172450"/>
    <w:rsid w:val="001727F6"/>
    <w:rsid w:val="00173BC0"/>
    <w:rsid w:val="00173F67"/>
    <w:rsid w:val="00175ADC"/>
    <w:rsid w:val="00175D19"/>
    <w:rsid w:val="0017601B"/>
    <w:rsid w:val="00180911"/>
    <w:rsid w:val="00180CCA"/>
    <w:rsid w:val="001813B4"/>
    <w:rsid w:val="00181858"/>
    <w:rsid w:val="001819BD"/>
    <w:rsid w:val="001825B0"/>
    <w:rsid w:val="00182ACE"/>
    <w:rsid w:val="00182EF9"/>
    <w:rsid w:val="0018357D"/>
    <w:rsid w:val="0018359C"/>
    <w:rsid w:val="00183DDE"/>
    <w:rsid w:val="001851C9"/>
    <w:rsid w:val="00185DCE"/>
    <w:rsid w:val="00186CEB"/>
    <w:rsid w:val="00187732"/>
    <w:rsid w:val="00187F76"/>
    <w:rsid w:val="0019099D"/>
    <w:rsid w:val="0019154B"/>
    <w:rsid w:val="00191BFB"/>
    <w:rsid w:val="00193900"/>
    <w:rsid w:val="00194E51"/>
    <w:rsid w:val="00195D9F"/>
    <w:rsid w:val="001976C6"/>
    <w:rsid w:val="001977F4"/>
    <w:rsid w:val="00197B8A"/>
    <w:rsid w:val="001A0FE8"/>
    <w:rsid w:val="001A19A9"/>
    <w:rsid w:val="001A1CD8"/>
    <w:rsid w:val="001A37A8"/>
    <w:rsid w:val="001A3B5E"/>
    <w:rsid w:val="001A3E9C"/>
    <w:rsid w:val="001A4B96"/>
    <w:rsid w:val="001A5BA0"/>
    <w:rsid w:val="001A7560"/>
    <w:rsid w:val="001B11D3"/>
    <w:rsid w:val="001B2733"/>
    <w:rsid w:val="001B5D58"/>
    <w:rsid w:val="001B619A"/>
    <w:rsid w:val="001B70D9"/>
    <w:rsid w:val="001B767D"/>
    <w:rsid w:val="001C07AE"/>
    <w:rsid w:val="001C0B89"/>
    <w:rsid w:val="001C265F"/>
    <w:rsid w:val="001C37D6"/>
    <w:rsid w:val="001C4069"/>
    <w:rsid w:val="001C6BAB"/>
    <w:rsid w:val="001C7B4B"/>
    <w:rsid w:val="001D1479"/>
    <w:rsid w:val="001D1D5A"/>
    <w:rsid w:val="001D2A68"/>
    <w:rsid w:val="001D33CD"/>
    <w:rsid w:val="001D3CE4"/>
    <w:rsid w:val="001D50EA"/>
    <w:rsid w:val="001D53DE"/>
    <w:rsid w:val="001D62DD"/>
    <w:rsid w:val="001D6528"/>
    <w:rsid w:val="001D72C1"/>
    <w:rsid w:val="001E1D9C"/>
    <w:rsid w:val="001E347A"/>
    <w:rsid w:val="001E4D60"/>
    <w:rsid w:val="001E5C14"/>
    <w:rsid w:val="001E63A7"/>
    <w:rsid w:val="001E68C6"/>
    <w:rsid w:val="001E7926"/>
    <w:rsid w:val="001F0218"/>
    <w:rsid w:val="001F0308"/>
    <w:rsid w:val="001F1EF0"/>
    <w:rsid w:val="001F79E1"/>
    <w:rsid w:val="00200B47"/>
    <w:rsid w:val="00202DEE"/>
    <w:rsid w:val="0020324F"/>
    <w:rsid w:val="002054D1"/>
    <w:rsid w:val="00205516"/>
    <w:rsid w:val="00205B83"/>
    <w:rsid w:val="002066FD"/>
    <w:rsid w:val="00207C59"/>
    <w:rsid w:val="00210595"/>
    <w:rsid w:val="002112E8"/>
    <w:rsid w:val="002120D5"/>
    <w:rsid w:val="002121B9"/>
    <w:rsid w:val="002127C7"/>
    <w:rsid w:val="00212AC3"/>
    <w:rsid w:val="00212DD6"/>
    <w:rsid w:val="002147B6"/>
    <w:rsid w:val="002157A9"/>
    <w:rsid w:val="0022159C"/>
    <w:rsid w:val="00222C22"/>
    <w:rsid w:val="00222F8C"/>
    <w:rsid w:val="00223D99"/>
    <w:rsid w:val="0022560E"/>
    <w:rsid w:val="002267AA"/>
    <w:rsid w:val="00227163"/>
    <w:rsid w:val="00227713"/>
    <w:rsid w:val="00227B0A"/>
    <w:rsid w:val="00227E74"/>
    <w:rsid w:val="00230082"/>
    <w:rsid w:val="0023099C"/>
    <w:rsid w:val="00231364"/>
    <w:rsid w:val="0023205D"/>
    <w:rsid w:val="00233022"/>
    <w:rsid w:val="002358B7"/>
    <w:rsid w:val="00235A90"/>
    <w:rsid w:val="002402F7"/>
    <w:rsid w:val="002407C1"/>
    <w:rsid w:val="00243752"/>
    <w:rsid w:val="00243C03"/>
    <w:rsid w:val="00244320"/>
    <w:rsid w:val="002443B0"/>
    <w:rsid w:val="00245EFB"/>
    <w:rsid w:val="002462DA"/>
    <w:rsid w:val="00246FE9"/>
    <w:rsid w:val="00247CEE"/>
    <w:rsid w:val="00251B4C"/>
    <w:rsid w:val="0025253A"/>
    <w:rsid w:val="00253867"/>
    <w:rsid w:val="00254216"/>
    <w:rsid w:val="002547E9"/>
    <w:rsid w:val="002562EC"/>
    <w:rsid w:val="002635D9"/>
    <w:rsid w:val="002638FE"/>
    <w:rsid w:val="002640F0"/>
    <w:rsid w:val="002647F4"/>
    <w:rsid w:val="00264804"/>
    <w:rsid w:val="00264BF0"/>
    <w:rsid w:val="00264CAE"/>
    <w:rsid w:val="002656AE"/>
    <w:rsid w:val="00266320"/>
    <w:rsid w:val="0026697E"/>
    <w:rsid w:val="002709E5"/>
    <w:rsid w:val="002720A4"/>
    <w:rsid w:val="002723BE"/>
    <w:rsid w:val="002725F1"/>
    <w:rsid w:val="00272B01"/>
    <w:rsid w:val="00272E29"/>
    <w:rsid w:val="002730FB"/>
    <w:rsid w:val="0027577D"/>
    <w:rsid w:val="00276A0B"/>
    <w:rsid w:val="00277BB4"/>
    <w:rsid w:val="00277ED8"/>
    <w:rsid w:val="0028010D"/>
    <w:rsid w:val="00280278"/>
    <w:rsid w:val="0028040B"/>
    <w:rsid w:val="0028093F"/>
    <w:rsid w:val="00283743"/>
    <w:rsid w:val="00284936"/>
    <w:rsid w:val="00284BCC"/>
    <w:rsid w:val="002853CD"/>
    <w:rsid w:val="00285E08"/>
    <w:rsid w:val="0028637E"/>
    <w:rsid w:val="00287BC0"/>
    <w:rsid w:val="00291EC3"/>
    <w:rsid w:val="0029236C"/>
    <w:rsid w:val="0029240E"/>
    <w:rsid w:val="002935AC"/>
    <w:rsid w:val="00293632"/>
    <w:rsid w:val="0029727B"/>
    <w:rsid w:val="002A0651"/>
    <w:rsid w:val="002A0BA1"/>
    <w:rsid w:val="002A151B"/>
    <w:rsid w:val="002A1AFF"/>
    <w:rsid w:val="002A3224"/>
    <w:rsid w:val="002A611F"/>
    <w:rsid w:val="002A6532"/>
    <w:rsid w:val="002B1104"/>
    <w:rsid w:val="002B1B7C"/>
    <w:rsid w:val="002B1D8C"/>
    <w:rsid w:val="002B2C15"/>
    <w:rsid w:val="002B3679"/>
    <w:rsid w:val="002B379B"/>
    <w:rsid w:val="002B5C0D"/>
    <w:rsid w:val="002B636D"/>
    <w:rsid w:val="002B6DE6"/>
    <w:rsid w:val="002C0CA3"/>
    <w:rsid w:val="002C4B20"/>
    <w:rsid w:val="002D0114"/>
    <w:rsid w:val="002D4AC1"/>
    <w:rsid w:val="002D5D41"/>
    <w:rsid w:val="002D7EAA"/>
    <w:rsid w:val="002E07F5"/>
    <w:rsid w:val="002E179D"/>
    <w:rsid w:val="002E2064"/>
    <w:rsid w:val="002E2FE1"/>
    <w:rsid w:val="002E3E57"/>
    <w:rsid w:val="002E4011"/>
    <w:rsid w:val="002E4976"/>
    <w:rsid w:val="002E4B1A"/>
    <w:rsid w:val="002E4C27"/>
    <w:rsid w:val="002E557C"/>
    <w:rsid w:val="002E580F"/>
    <w:rsid w:val="002F092B"/>
    <w:rsid w:val="002F0BFA"/>
    <w:rsid w:val="002F1368"/>
    <w:rsid w:val="002F183C"/>
    <w:rsid w:val="002F299D"/>
    <w:rsid w:val="002F31E7"/>
    <w:rsid w:val="0030046F"/>
    <w:rsid w:val="00300585"/>
    <w:rsid w:val="00301256"/>
    <w:rsid w:val="00302CFA"/>
    <w:rsid w:val="00305C6D"/>
    <w:rsid w:val="00305FB6"/>
    <w:rsid w:val="00313669"/>
    <w:rsid w:val="00313B47"/>
    <w:rsid w:val="00313D8E"/>
    <w:rsid w:val="003141DD"/>
    <w:rsid w:val="003147C9"/>
    <w:rsid w:val="00314BFA"/>
    <w:rsid w:val="00314E89"/>
    <w:rsid w:val="00315262"/>
    <w:rsid w:val="003157F0"/>
    <w:rsid w:val="0032040B"/>
    <w:rsid w:val="003209CE"/>
    <w:rsid w:val="003222F5"/>
    <w:rsid w:val="00322DB9"/>
    <w:rsid w:val="00322F5A"/>
    <w:rsid w:val="003235BC"/>
    <w:rsid w:val="00323684"/>
    <w:rsid w:val="003245BF"/>
    <w:rsid w:val="0032465C"/>
    <w:rsid w:val="00324AA7"/>
    <w:rsid w:val="00325349"/>
    <w:rsid w:val="003269CD"/>
    <w:rsid w:val="00327317"/>
    <w:rsid w:val="00327C3B"/>
    <w:rsid w:val="003325A8"/>
    <w:rsid w:val="0033458D"/>
    <w:rsid w:val="0033531C"/>
    <w:rsid w:val="00336085"/>
    <w:rsid w:val="003363EF"/>
    <w:rsid w:val="0033670C"/>
    <w:rsid w:val="00336E0E"/>
    <w:rsid w:val="003370C9"/>
    <w:rsid w:val="003373D9"/>
    <w:rsid w:val="00337808"/>
    <w:rsid w:val="00337FB3"/>
    <w:rsid w:val="00337FCB"/>
    <w:rsid w:val="003415D5"/>
    <w:rsid w:val="00347DCC"/>
    <w:rsid w:val="00350B94"/>
    <w:rsid w:val="00350CAC"/>
    <w:rsid w:val="00350E2D"/>
    <w:rsid w:val="00351BD6"/>
    <w:rsid w:val="00351CFA"/>
    <w:rsid w:val="00352A0D"/>
    <w:rsid w:val="00352E28"/>
    <w:rsid w:val="00353C4A"/>
    <w:rsid w:val="003559BB"/>
    <w:rsid w:val="00355D08"/>
    <w:rsid w:val="00356BEE"/>
    <w:rsid w:val="00357C4A"/>
    <w:rsid w:val="00360868"/>
    <w:rsid w:val="0036089C"/>
    <w:rsid w:val="00362296"/>
    <w:rsid w:val="00363004"/>
    <w:rsid w:val="00363B5F"/>
    <w:rsid w:val="003647FE"/>
    <w:rsid w:val="003650B7"/>
    <w:rsid w:val="003650EA"/>
    <w:rsid w:val="00370474"/>
    <w:rsid w:val="00370BCA"/>
    <w:rsid w:val="00370DA5"/>
    <w:rsid w:val="003725E8"/>
    <w:rsid w:val="003736E1"/>
    <w:rsid w:val="00373A35"/>
    <w:rsid w:val="003741A2"/>
    <w:rsid w:val="00375192"/>
    <w:rsid w:val="003757A6"/>
    <w:rsid w:val="003767C8"/>
    <w:rsid w:val="003776EA"/>
    <w:rsid w:val="00377E85"/>
    <w:rsid w:val="00377E8C"/>
    <w:rsid w:val="00380160"/>
    <w:rsid w:val="00381CB0"/>
    <w:rsid w:val="0038418F"/>
    <w:rsid w:val="00384C70"/>
    <w:rsid w:val="00384EBC"/>
    <w:rsid w:val="0038583A"/>
    <w:rsid w:val="003877F5"/>
    <w:rsid w:val="003906C5"/>
    <w:rsid w:val="00391C8D"/>
    <w:rsid w:val="0039304E"/>
    <w:rsid w:val="00393B40"/>
    <w:rsid w:val="00393DC0"/>
    <w:rsid w:val="00393FF1"/>
    <w:rsid w:val="00395DC6"/>
    <w:rsid w:val="0039668E"/>
    <w:rsid w:val="00396EB0"/>
    <w:rsid w:val="00397398"/>
    <w:rsid w:val="003A14C2"/>
    <w:rsid w:val="003A203C"/>
    <w:rsid w:val="003A285B"/>
    <w:rsid w:val="003A50F9"/>
    <w:rsid w:val="003A582F"/>
    <w:rsid w:val="003A63A6"/>
    <w:rsid w:val="003A744C"/>
    <w:rsid w:val="003A74CF"/>
    <w:rsid w:val="003B0014"/>
    <w:rsid w:val="003B171B"/>
    <w:rsid w:val="003B2FCE"/>
    <w:rsid w:val="003B3A83"/>
    <w:rsid w:val="003B4AF1"/>
    <w:rsid w:val="003B57E9"/>
    <w:rsid w:val="003B643C"/>
    <w:rsid w:val="003B7779"/>
    <w:rsid w:val="003C0DF1"/>
    <w:rsid w:val="003C11B8"/>
    <w:rsid w:val="003C1279"/>
    <w:rsid w:val="003C13D8"/>
    <w:rsid w:val="003C1EAD"/>
    <w:rsid w:val="003C1FFC"/>
    <w:rsid w:val="003C38A9"/>
    <w:rsid w:val="003C3E3B"/>
    <w:rsid w:val="003C42CD"/>
    <w:rsid w:val="003C50F6"/>
    <w:rsid w:val="003C55FE"/>
    <w:rsid w:val="003C69F5"/>
    <w:rsid w:val="003C7AE2"/>
    <w:rsid w:val="003D1EBA"/>
    <w:rsid w:val="003D450C"/>
    <w:rsid w:val="003D46F4"/>
    <w:rsid w:val="003D5C86"/>
    <w:rsid w:val="003D6150"/>
    <w:rsid w:val="003D71D3"/>
    <w:rsid w:val="003D71D6"/>
    <w:rsid w:val="003E1F61"/>
    <w:rsid w:val="003E23CD"/>
    <w:rsid w:val="003E2A4E"/>
    <w:rsid w:val="003E2A87"/>
    <w:rsid w:val="003E3188"/>
    <w:rsid w:val="003E3D6F"/>
    <w:rsid w:val="003E439A"/>
    <w:rsid w:val="003E6175"/>
    <w:rsid w:val="003E6C15"/>
    <w:rsid w:val="003E6E55"/>
    <w:rsid w:val="003E7753"/>
    <w:rsid w:val="003E7A09"/>
    <w:rsid w:val="003F0C0C"/>
    <w:rsid w:val="003F0EB4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4057"/>
    <w:rsid w:val="004142CD"/>
    <w:rsid w:val="0041499B"/>
    <w:rsid w:val="00414EA1"/>
    <w:rsid w:val="004156D8"/>
    <w:rsid w:val="004163FD"/>
    <w:rsid w:val="00417983"/>
    <w:rsid w:val="004204C3"/>
    <w:rsid w:val="004209C1"/>
    <w:rsid w:val="00421371"/>
    <w:rsid w:val="004215CE"/>
    <w:rsid w:val="0042219A"/>
    <w:rsid w:val="0042291B"/>
    <w:rsid w:val="004232AB"/>
    <w:rsid w:val="00423527"/>
    <w:rsid w:val="00427B23"/>
    <w:rsid w:val="00430D54"/>
    <w:rsid w:val="0043134A"/>
    <w:rsid w:val="004330F5"/>
    <w:rsid w:val="004331C7"/>
    <w:rsid w:val="004356DB"/>
    <w:rsid w:val="00435D08"/>
    <w:rsid w:val="00437415"/>
    <w:rsid w:val="00437DD0"/>
    <w:rsid w:val="00442757"/>
    <w:rsid w:val="004432FC"/>
    <w:rsid w:val="0044433C"/>
    <w:rsid w:val="00444AFE"/>
    <w:rsid w:val="00444C1D"/>
    <w:rsid w:val="00445939"/>
    <w:rsid w:val="00446C6D"/>
    <w:rsid w:val="00447A23"/>
    <w:rsid w:val="00450B71"/>
    <w:rsid w:val="00453A1A"/>
    <w:rsid w:val="00454010"/>
    <w:rsid w:val="004542BB"/>
    <w:rsid w:val="00454802"/>
    <w:rsid w:val="0045600C"/>
    <w:rsid w:val="0045616F"/>
    <w:rsid w:val="004574A8"/>
    <w:rsid w:val="004626CA"/>
    <w:rsid w:val="004627D4"/>
    <w:rsid w:val="004675C9"/>
    <w:rsid w:val="0047071B"/>
    <w:rsid w:val="00473A0E"/>
    <w:rsid w:val="00473F72"/>
    <w:rsid w:val="0047407C"/>
    <w:rsid w:val="00474417"/>
    <w:rsid w:val="00474547"/>
    <w:rsid w:val="00475184"/>
    <w:rsid w:val="00475717"/>
    <w:rsid w:val="00475E3D"/>
    <w:rsid w:val="00476149"/>
    <w:rsid w:val="00476832"/>
    <w:rsid w:val="00476B7D"/>
    <w:rsid w:val="004777D9"/>
    <w:rsid w:val="00477AFA"/>
    <w:rsid w:val="00477D42"/>
    <w:rsid w:val="004815CB"/>
    <w:rsid w:val="0048237B"/>
    <w:rsid w:val="004823FE"/>
    <w:rsid w:val="00482F6F"/>
    <w:rsid w:val="00485F49"/>
    <w:rsid w:val="00486641"/>
    <w:rsid w:val="00486DC5"/>
    <w:rsid w:val="00490842"/>
    <w:rsid w:val="004910B9"/>
    <w:rsid w:val="0049172E"/>
    <w:rsid w:val="004930D6"/>
    <w:rsid w:val="0049313D"/>
    <w:rsid w:val="00494020"/>
    <w:rsid w:val="00494C47"/>
    <w:rsid w:val="00496479"/>
    <w:rsid w:val="00496ED2"/>
    <w:rsid w:val="00497559"/>
    <w:rsid w:val="004A0043"/>
    <w:rsid w:val="004A10D7"/>
    <w:rsid w:val="004A1613"/>
    <w:rsid w:val="004A2289"/>
    <w:rsid w:val="004A2765"/>
    <w:rsid w:val="004A3336"/>
    <w:rsid w:val="004A3975"/>
    <w:rsid w:val="004A4D14"/>
    <w:rsid w:val="004A60F7"/>
    <w:rsid w:val="004A664B"/>
    <w:rsid w:val="004A787D"/>
    <w:rsid w:val="004A7887"/>
    <w:rsid w:val="004B0875"/>
    <w:rsid w:val="004B11B2"/>
    <w:rsid w:val="004B1889"/>
    <w:rsid w:val="004B2519"/>
    <w:rsid w:val="004B2AAC"/>
    <w:rsid w:val="004B3103"/>
    <w:rsid w:val="004B322C"/>
    <w:rsid w:val="004B60A4"/>
    <w:rsid w:val="004B697F"/>
    <w:rsid w:val="004B6C64"/>
    <w:rsid w:val="004B768A"/>
    <w:rsid w:val="004B7DE9"/>
    <w:rsid w:val="004C24A7"/>
    <w:rsid w:val="004C36CA"/>
    <w:rsid w:val="004C3BF5"/>
    <w:rsid w:val="004C61EF"/>
    <w:rsid w:val="004C71A3"/>
    <w:rsid w:val="004D199F"/>
    <w:rsid w:val="004D23C8"/>
    <w:rsid w:val="004D23E4"/>
    <w:rsid w:val="004D246B"/>
    <w:rsid w:val="004D345D"/>
    <w:rsid w:val="004E091E"/>
    <w:rsid w:val="004E1EA6"/>
    <w:rsid w:val="004E2B3C"/>
    <w:rsid w:val="004E2C3F"/>
    <w:rsid w:val="004E3F42"/>
    <w:rsid w:val="004E41B4"/>
    <w:rsid w:val="004E4678"/>
    <w:rsid w:val="004E4EF9"/>
    <w:rsid w:val="004E539E"/>
    <w:rsid w:val="004E54D0"/>
    <w:rsid w:val="004E54F5"/>
    <w:rsid w:val="004E62A7"/>
    <w:rsid w:val="004F1153"/>
    <w:rsid w:val="004F1739"/>
    <w:rsid w:val="004F2EEB"/>
    <w:rsid w:val="004F3663"/>
    <w:rsid w:val="004F3903"/>
    <w:rsid w:val="004F3FEF"/>
    <w:rsid w:val="004F404E"/>
    <w:rsid w:val="004F5C50"/>
    <w:rsid w:val="004F621C"/>
    <w:rsid w:val="004F6E28"/>
    <w:rsid w:val="004F7FAA"/>
    <w:rsid w:val="00500096"/>
    <w:rsid w:val="00500678"/>
    <w:rsid w:val="00501A4F"/>
    <w:rsid w:val="005028C6"/>
    <w:rsid w:val="0050380F"/>
    <w:rsid w:val="00504B37"/>
    <w:rsid w:val="00505BAB"/>
    <w:rsid w:val="005061BF"/>
    <w:rsid w:val="00506233"/>
    <w:rsid w:val="0051065A"/>
    <w:rsid w:val="00511005"/>
    <w:rsid w:val="005130AD"/>
    <w:rsid w:val="005142D2"/>
    <w:rsid w:val="00514ED9"/>
    <w:rsid w:val="0051520C"/>
    <w:rsid w:val="00515E07"/>
    <w:rsid w:val="00515E9E"/>
    <w:rsid w:val="005230B9"/>
    <w:rsid w:val="00524F74"/>
    <w:rsid w:val="00525291"/>
    <w:rsid w:val="00525B87"/>
    <w:rsid w:val="00527333"/>
    <w:rsid w:val="0052778D"/>
    <w:rsid w:val="00527904"/>
    <w:rsid w:val="0053039A"/>
    <w:rsid w:val="00530C85"/>
    <w:rsid w:val="005317F0"/>
    <w:rsid w:val="00531FDE"/>
    <w:rsid w:val="005326DB"/>
    <w:rsid w:val="0053429F"/>
    <w:rsid w:val="00534BB9"/>
    <w:rsid w:val="00535600"/>
    <w:rsid w:val="00535BDE"/>
    <w:rsid w:val="00536DAF"/>
    <w:rsid w:val="00537B61"/>
    <w:rsid w:val="0054015F"/>
    <w:rsid w:val="0054042B"/>
    <w:rsid w:val="00540508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788"/>
    <w:rsid w:val="005579A5"/>
    <w:rsid w:val="005611A8"/>
    <w:rsid w:val="00562363"/>
    <w:rsid w:val="00565709"/>
    <w:rsid w:val="00565D67"/>
    <w:rsid w:val="00566DDB"/>
    <w:rsid w:val="00567776"/>
    <w:rsid w:val="00567CCA"/>
    <w:rsid w:val="00571F05"/>
    <w:rsid w:val="00572141"/>
    <w:rsid w:val="005735F4"/>
    <w:rsid w:val="00574ACA"/>
    <w:rsid w:val="00574CFC"/>
    <w:rsid w:val="00580362"/>
    <w:rsid w:val="00580805"/>
    <w:rsid w:val="005812FB"/>
    <w:rsid w:val="00582467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2D8F"/>
    <w:rsid w:val="00593475"/>
    <w:rsid w:val="00594BA5"/>
    <w:rsid w:val="00594F23"/>
    <w:rsid w:val="00595A0D"/>
    <w:rsid w:val="00596289"/>
    <w:rsid w:val="00596660"/>
    <w:rsid w:val="005969AC"/>
    <w:rsid w:val="00596F21"/>
    <w:rsid w:val="00597DFD"/>
    <w:rsid w:val="005A6B8A"/>
    <w:rsid w:val="005A7C20"/>
    <w:rsid w:val="005B0BDA"/>
    <w:rsid w:val="005B0E93"/>
    <w:rsid w:val="005B13CE"/>
    <w:rsid w:val="005B2636"/>
    <w:rsid w:val="005B5B3C"/>
    <w:rsid w:val="005B6397"/>
    <w:rsid w:val="005B64B4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D0C6E"/>
    <w:rsid w:val="005D2889"/>
    <w:rsid w:val="005D2B64"/>
    <w:rsid w:val="005D3219"/>
    <w:rsid w:val="005D3BE6"/>
    <w:rsid w:val="005D3CC8"/>
    <w:rsid w:val="005D4555"/>
    <w:rsid w:val="005D4D76"/>
    <w:rsid w:val="005D552E"/>
    <w:rsid w:val="005D597F"/>
    <w:rsid w:val="005D6489"/>
    <w:rsid w:val="005D6B08"/>
    <w:rsid w:val="005E0B46"/>
    <w:rsid w:val="005E1D45"/>
    <w:rsid w:val="005E2926"/>
    <w:rsid w:val="005E2E7F"/>
    <w:rsid w:val="005E3D7F"/>
    <w:rsid w:val="005E5865"/>
    <w:rsid w:val="005E6194"/>
    <w:rsid w:val="005E703A"/>
    <w:rsid w:val="005F0B83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528"/>
    <w:rsid w:val="006015D9"/>
    <w:rsid w:val="00604E08"/>
    <w:rsid w:val="00605C9C"/>
    <w:rsid w:val="00605CF1"/>
    <w:rsid w:val="00607AB6"/>
    <w:rsid w:val="006100E4"/>
    <w:rsid w:val="006111B4"/>
    <w:rsid w:val="0061192A"/>
    <w:rsid w:val="00611DB8"/>
    <w:rsid w:val="006124A8"/>
    <w:rsid w:val="006137D9"/>
    <w:rsid w:val="00613FA8"/>
    <w:rsid w:val="0061603A"/>
    <w:rsid w:val="0061703B"/>
    <w:rsid w:val="006177A9"/>
    <w:rsid w:val="00617DAF"/>
    <w:rsid w:val="00620000"/>
    <w:rsid w:val="006209D3"/>
    <w:rsid w:val="00621A2A"/>
    <w:rsid w:val="006225D4"/>
    <w:rsid w:val="00622E6B"/>
    <w:rsid w:val="00622E8C"/>
    <w:rsid w:val="00622EBE"/>
    <w:rsid w:val="00624DCF"/>
    <w:rsid w:val="00624E2C"/>
    <w:rsid w:val="00631211"/>
    <w:rsid w:val="00634781"/>
    <w:rsid w:val="00637B20"/>
    <w:rsid w:val="006407D8"/>
    <w:rsid w:val="00640B5A"/>
    <w:rsid w:val="00642589"/>
    <w:rsid w:val="00646CC2"/>
    <w:rsid w:val="00646F83"/>
    <w:rsid w:val="0064749F"/>
    <w:rsid w:val="00647CBD"/>
    <w:rsid w:val="0065017E"/>
    <w:rsid w:val="006501A1"/>
    <w:rsid w:val="0065030F"/>
    <w:rsid w:val="0065060E"/>
    <w:rsid w:val="0065365B"/>
    <w:rsid w:val="00661BEC"/>
    <w:rsid w:val="00663F61"/>
    <w:rsid w:val="0066474A"/>
    <w:rsid w:val="00670EEA"/>
    <w:rsid w:val="00671264"/>
    <w:rsid w:val="006760CC"/>
    <w:rsid w:val="00676455"/>
    <w:rsid w:val="0067656C"/>
    <w:rsid w:val="00676D13"/>
    <w:rsid w:val="00677F90"/>
    <w:rsid w:val="0068097C"/>
    <w:rsid w:val="00681D74"/>
    <w:rsid w:val="00683A9D"/>
    <w:rsid w:val="006849AC"/>
    <w:rsid w:val="00686062"/>
    <w:rsid w:val="0068744C"/>
    <w:rsid w:val="00690C86"/>
    <w:rsid w:val="00691C74"/>
    <w:rsid w:val="00692563"/>
    <w:rsid w:val="0069308E"/>
    <w:rsid w:val="00693611"/>
    <w:rsid w:val="00693974"/>
    <w:rsid w:val="0069407D"/>
    <w:rsid w:val="0069478E"/>
    <w:rsid w:val="00694DB3"/>
    <w:rsid w:val="00695F56"/>
    <w:rsid w:val="006971A0"/>
    <w:rsid w:val="00697D85"/>
    <w:rsid w:val="00697FC0"/>
    <w:rsid w:val="006A14CB"/>
    <w:rsid w:val="006A333F"/>
    <w:rsid w:val="006A3F53"/>
    <w:rsid w:val="006A781F"/>
    <w:rsid w:val="006A7A52"/>
    <w:rsid w:val="006B068D"/>
    <w:rsid w:val="006B22A4"/>
    <w:rsid w:val="006C0820"/>
    <w:rsid w:val="006C1202"/>
    <w:rsid w:val="006C12CA"/>
    <w:rsid w:val="006C1502"/>
    <w:rsid w:val="006C277F"/>
    <w:rsid w:val="006C3918"/>
    <w:rsid w:val="006C40C8"/>
    <w:rsid w:val="006C4FDD"/>
    <w:rsid w:val="006C5DE3"/>
    <w:rsid w:val="006C7228"/>
    <w:rsid w:val="006C7C2E"/>
    <w:rsid w:val="006D03B3"/>
    <w:rsid w:val="006D049E"/>
    <w:rsid w:val="006D126E"/>
    <w:rsid w:val="006D14C4"/>
    <w:rsid w:val="006D2E11"/>
    <w:rsid w:val="006D37D3"/>
    <w:rsid w:val="006D4A19"/>
    <w:rsid w:val="006D5159"/>
    <w:rsid w:val="006D598B"/>
    <w:rsid w:val="006E1561"/>
    <w:rsid w:val="006E1819"/>
    <w:rsid w:val="006E4DC0"/>
    <w:rsid w:val="006E6231"/>
    <w:rsid w:val="006E758A"/>
    <w:rsid w:val="006F0C90"/>
    <w:rsid w:val="006F10EF"/>
    <w:rsid w:val="006F2593"/>
    <w:rsid w:val="006F3060"/>
    <w:rsid w:val="006F3628"/>
    <w:rsid w:val="006F468F"/>
    <w:rsid w:val="006F48AF"/>
    <w:rsid w:val="006F5C8B"/>
    <w:rsid w:val="006F69F8"/>
    <w:rsid w:val="006F7818"/>
    <w:rsid w:val="006F78A9"/>
    <w:rsid w:val="007009EE"/>
    <w:rsid w:val="007021CC"/>
    <w:rsid w:val="00703767"/>
    <w:rsid w:val="007042F9"/>
    <w:rsid w:val="007070C3"/>
    <w:rsid w:val="007076E9"/>
    <w:rsid w:val="00710342"/>
    <w:rsid w:val="007113A5"/>
    <w:rsid w:val="00712095"/>
    <w:rsid w:val="00712B01"/>
    <w:rsid w:val="007132C0"/>
    <w:rsid w:val="00714B70"/>
    <w:rsid w:val="00721FB8"/>
    <w:rsid w:val="00722CA9"/>
    <w:rsid w:val="00725500"/>
    <w:rsid w:val="007312C7"/>
    <w:rsid w:val="00734C4B"/>
    <w:rsid w:val="0074018D"/>
    <w:rsid w:val="00740E03"/>
    <w:rsid w:val="00741C72"/>
    <w:rsid w:val="0074518E"/>
    <w:rsid w:val="007457C3"/>
    <w:rsid w:val="007477E3"/>
    <w:rsid w:val="007479A0"/>
    <w:rsid w:val="00750E31"/>
    <w:rsid w:val="00750E95"/>
    <w:rsid w:val="00752102"/>
    <w:rsid w:val="00753453"/>
    <w:rsid w:val="00754123"/>
    <w:rsid w:val="007545E5"/>
    <w:rsid w:val="00754EBC"/>
    <w:rsid w:val="007551CD"/>
    <w:rsid w:val="0075648B"/>
    <w:rsid w:val="00756E74"/>
    <w:rsid w:val="0075705A"/>
    <w:rsid w:val="0076315B"/>
    <w:rsid w:val="007638DA"/>
    <w:rsid w:val="00764983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828"/>
    <w:rsid w:val="00773F31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1F15"/>
    <w:rsid w:val="00783C96"/>
    <w:rsid w:val="0078431D"/>
    <w:rsid w:val="00784C0A"/>
    <w:rsid w:val="0078547F"/>
    <w:rsid w:val="00785AC7"/>
    <w:rsid w:val="00785C07"/>
    <w:rsid w:val="00786D52"/>
    <w:rsid w:val="00787599"/>
    <w:rsid w:val="00790667"/>
    <w:rsid w:val="00791E8B"/>
    <w:rsid w:val="00796302"/>
    <w:rsid w:val="00797BF7"/>
    <w:rsid w:val="007A0D0F"/>
    <w:rsid w:val="007A1D2D"/>
    <w:rsid w:val="007A2ADF"/>
    <w:rsid w:val="007A3737"/>
    <w:rsid w:val="007A4342"/>
    <w:rsid w:val="007A4755"/>
    <w:rsid w:val="007A57A2"/>
    <w:rsid w:val="007B0DAD"/>
    <w:rsid w:val="007B2DC2"/>
    <w:rsid w:val="007B2EE2"/>
    <w:rsid w:val="007B444C"/>
    <w:rsid w:val="007B463A"/>
    <w:rsid w:val="007B4FDD"/>
    <w:rsid w:val="007B6792"/>
    <w:rsid w:val="007B6E05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FDB"/>
    <w:rsid w:val="007D0EC9"/>
    <w:rsid w:val="007D152B"/>
    <w:rsid w:val="007D2973"/>
    <w:rsid w:val="007D4A76"/>
    <w:rsid w:val="007D4B40"/>
    <w:rsid w:val="007D5E87"/>
    <w:rsid w:val="007D7332"/>
    <w:rsid w:val="007E0890"/>
    <w:rsid w:val="007E111A"/>
    <w:rsid w:val="007E3427"/>
    <w:rsid w:val="007E5BDF"/>
    <w:rsid w:val="007F020C"/>
    <w:rsid w:val="007F18EA"/>
    <w:rsid w:val="007F1E8D"/>
    <w:rsid w:val="007F240A"/>
    <w:rsid w:val="007F3105"/>
    <w:rsid w:val="007F383A"/>
    <w:rsid w:val="007F3FF0"/>
    <w:rsid w:val="007F4ABF"/>
    <w:rsid w:val="007F4B2F"/>
    <w:rsid w:val="007F6E87"/>
    <w:rsid w:val="007F70DF"/>
    <w:rsid w:val="007F7E53"/>
    <w:rsid w:val="00801271"/>
    <w:rsid w:val="00801906"/>
    <w:rsid w:val="00801FB8"/>
    <w:rsid w:val="0080287C"/>
    <w:rsid w:val="00802F6E"/>
    <w:rsid w:val="008031BE"/>
    <w:rsid w:val="008056EE"/>
    <w:rsid w:val="00805A72"/>
    <w:rsid w:val="008064CA"/>
    <w:rsid w:val="00807AF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25C"/>
    <w:rsid w:val="008249F8"/>
    <w:rsid w:val="00824D32"/>
    <w:rsid w:val="00825C44"/>
    <w:rsid w:val="008268D0"/>
    <w:rsid w:val="00826FCB"/>
    <w:rsid w:val="0082712D"/>
    <w:rsid w:val="00827894"/>
    <w:rsid w:val="00830E2F"/>
    <w:rsid w:val="00832E6F"/>
    <w:rsid w:val="0083323A"/>
    <w:rsid w:val="008337B5"/>
    <w:rsid w:val="00833F3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516DD"/>
    <w:rsid w:val="0085338B"/>
    <w:rsid w:val="0085387D"/>
    <w:rsid w:val="00853C82"/>
    <w:rsid w:val="00854223"/>
    <w:rsid w:val="0085445A"/>
    <w:rsid w:val="00854BF8"/>
    <w:rsid w:val="00855110"/>
    <w:rsid w:val="00857722"/>
    <w:rsid w:val="0086119F"/>
    <w:rsid w:val="00861664"/>
    <w:rsid w:val="00861842"/>
    <w:rsid w:val="00861FE5"/>
    <w:rsid w:val="008622D6"/>
    <w:rsid w:val="0086311A"/>
    <w:rsid w:val="00864A8B"/>
    <w:rsid w:val="00865A6C"/>
    <w:rsid w:val="008660B5"/>
    <w:rsid w:val="00866718"/>
    <w:rsid w:val="0087137E"/>
    <w:rsid w:val="00871BD1"/>
    <w:rsid w:val="00871BEE"/>
    <w:rsid w:val="00872FDD"/>
    <w:rsid w:val="00873152"/>
    <w:rsid w:val="008739CB"/>
    <w:rsid w:val="00874E1D"/>
    <w:rsid w:val="00875DC2"/>
    <w:rsid w:val="008762F6"/>
    <w:rsid w:val="008779E4"/>
    <w:rsid w:val="008800AC"/>
    <w:rsid w:val="0088060E"/>
    <w:rsid w:val="008815DD"/>
    <w:rsid w:val="0088166B"/>
    <w:rsid w:val="00881E2B"/>
    <w:rsid w:val="00884704"/>
    <w:rsid w:val="008853B7"/>
    <w:rsid w:val="008857FD"/>
    <w:rsid w:val="00885A6C"/>
    <w:rsid w:val="00885C14"/>
    <w:rsid w:val="00886F8C"/>
    <w:rsid w:val="0089267C"/>
    <w:rsid w:val="00892723"/>
    <w:rsid w:val="0089328D"/>
    <w:rsid w:val="00894342"/>
    <w:rsid w:val="00894410"/>
    <w:rsid w:val="00894CB7"/>
    <w:rsid w:val="00895DE5"/>
    <w:rsid w:val="00895FC9"/>
    <w:rsid w:val="008A216E"/>
    <w:rsid w:val="008A28DA"/>
    <w:rsid w:val="008A2A8C"/>
    <w:rsid w:val="008A5174"/>
    <w:rsid w:val="008A6AC7"/>
    <w:rsid w:val="008B0185"/>
    <w:rsid w:val="008B06C0"/>
    <w:rsid w:val="008B0A79"/>
    <w:rsid w:val="008B1593"/>
    <w:rsid w:val="008B1EA5"/>
    <w:rsid w:val="008B24FC"/>
    <w:rsid w:val="008B2B07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6F0"/>
    <w:rsid w:val="008C62BF"/>
    <w:rsid w:val="008C6566"/>
    <w:rsid w:val="008D0674"/>
    <w:rsid w:val="008D1BC3"/>
    <w:rsid w:val="008D1C09"/>
    <w:rsid w:val="008D4AAC"/>
    <w:rsid w:val="008D55D6"/>
    <w:rsid w:val="008D5BAA"/>
    <w:rsid w:val="008D5DAB"/>
    <w:rsid w:val="008D7351"/>
    <w:rsid w:val="008D78F5"/>
    <w:rsid w:val="008D7D26"/>
    <w:rsid w:val="008E0450"/>
    <w:rsid w:val="008E0B91"/>
    <w:rsid w:val="008E0CE3"/>
    <w:rsid w:val="008E0D52"/>
    <w:rsid w:val="008E1545"/>
    <w:rsid w:val="008E7351"/>
    <w:rsid w:val="008E75DF"/>
    <w:rsid w:val="008E7F53"/>
    <w:rsid w:val="008F02FF"/>
    <w:rsid w:val="008F15C9"/>
    <w:rsid w:val="008F26E0"/>
    <w:rsid w:val="008F31A2"/>
    <w:rsid w:val="008F3C7D"/>
    <w:rsid w:val="008F3DA7"/>
    <w:rsid w:val="008F4514"/>
    <w:rsid w:val="008F4A6E"/>
    <w:rsid w:val="008F5683"/>
    <w:rsid w:val="008F6B9E"/>
    <w:rsid w:val="008F7A2B"/>
    <w:rsid w:val="008F7F9E"/>
    <w:rsid w:val="00900A0F"/>
    <w:rsid w:val="009016B6"/>
    <w:rsid w:val="00902065"/>
    <w:rsid w:val="00902984"/>
    <w:rsid w:val="00902AE1"/>
    <w:rsid w:val="00903039"/>
    <w:rsid w:val="00903771"/>
    <w:rsid w:val="009038A8"/>
    <w:rsid w:val="009049A9"/>
    <w:rsid w:val="009050D9"/>
    <w:rsid w:val="009067AB"/>
    <w:rsid w:val="00907CB8"/>
    <w:rsid w:val="00907EDF"/>
    <w:rsid w:val="00910660"/>
    <w:rsid w:val="00910807"/>
    <w:rsid w:val="00911FDB"/>
    <w:rsid w:val="009124E0"/>
    <w:rsid w:val="0091295F"/>
    <w:rsid w:val="00915095"/>
    <w:rsid w:val="00916F14"/>
    <w:rsid w:val="009203F7"/>
    <w:rsid w:val="00925355"/>
    <w:rsid w:val="00925489"/>
    <w:rsid w:val="00927B44"/>
    <w:rsid w:val="00927C9F"/>
    <w:rsid w:val="00927E56"/>
    <w:rsid w:val="009301D5"/>
    <w:rsid w:val="00930E96"/>
    <w:rsid w:val="00931382"/>
    <w:rsid w:val="00931BA1"/>
    <w:rsid w:val="00932646"/>
    <w:rsid w:val="00934269"/>
    <w:rsid w:val="009346D8"/>
    <w:rsid w:val="009365E9"/>
    <w:rsid w:val="00936F35"/>
    <w:rsid w:val="00937FF9"/>
    <w:rsid w:val="009401D2"/>
    <w:rsid w:val="009401EC"/>
    <w:rsid w:val="00940FCC"/>
    <w:rsid w:val="00942FB9"/>
    <w:rsid w:val="00944158"/>
    <w:rsid w:val="00946C32"/>
    <w:rsid w:val="00950DE6"/>
    <w:rsid w:val="00951C2B"/>
    <w:rsid w:val="00952728"/>
    <w:rsid w:val="00953DA8"/>
    <w:rsid w:val="00954014"/>
    <w:rsid w:val="0095408B"/>
    <w:rsid w:val="0095502B"/>
    <w:rsid w:val="00955997"/>
    <w:rsid w:val="00956807"/>
    <w:rsid w:val="009571B1"/>
    <w:rsid w:val="00957B4B"/>
    <w:rsid w:val="00961164"/>
    <w:rsid w:val="009617CA"/>
    <w:rsid w:val="009670A4"/>
    <w:rsid w:val="0097176C"/>
    <w:rsid w:val="0097413B"/>
    <w:rsid w:val="009741D0"/>
    <w:rsid w:val="00974441"/>
    <w:rsid w:val="00977744"/>
    <w:rsid w:val="00981EED"/>
    <w:rsid w:val="00982C88"/>
    <w:rsid w:val="00983A91"/>
    <w:rsid w:val="00986301"/>
    <w:rsid w:val="00986FCF"/>
    <w:rsid w:val="009871F9"/>
    <w:rsid w:val="0098750D"/>
    <w:rsid w:val="00987734"/>
    <w:rsid w:val="00991BC1"/>
    <w:rsid w:val="00993C43"/>
    <w:rsid w:val="009940D8"/>
    <w:rsid w:val="00994574"/>
    <w:rsid w:val="0099553A"/>
    <w:rsid w:val="00996577"/>
    <w:rsid w:val="009A0ED5"/>
    <w:rsid w:val="009A127F"/>
    <w:rsid w:val="009A1330"/>
    <w:rsid w:val="009B0766"/>
    <w:rsid w:val="009B16DF"/>
    <w:rsid w:val="009B2498"/>
    <w:rsid w:val="009B2E2E"/>
    <w:rsid w:val="009B3192"/>
    <w:rsid w:val="009B3988"/>
    <w:rsid w:val="009B3CA2"/>
    <w:rsid w:val="009B4477"/>
    <w:rsid w:val="009B4633"/>
    <w:rsid w:val="009B5241"/>
    <w:rsid w:val="009B6383"/>
    <w:rsid w:val="009B6F8C"/>
    <w:rsid w:val="009B7208"/>
    <w:rsid w:val="009B7C80"/>
    <w:rsid w:val="009C41C8"/>
    <w:rsid w:val="009C48B9"/>
    <w:rsid w:val="009C5457"/>
    <w:rsid w:val="009C7469"/>
    <w:rsid w:val="009D115B"/>
    <w:rsid w:val="009D13B9"/>
    <w:rsid w:val="009D1645"/>
    <w:rsid w:val="009D258C"/>
    <w:rsid w:val="009D33AC"/>
    <w:rsid w:val="009D4AFC"/>
    <w:rsid w:val="009D4D74"/>
    <w:rsid w:val="009D6356"/>
    <w:rsid w:val="009E01F4"/>
    <w:rsid w:val="009E0E16"/>
    <w:rsid w:val="009E21C9"/>
    <w:rsid w:val="009E27D0"/>
    <w:rsid w:val="009E47BF"/>
    <w:rsid w:val="009E48A4"/>
    <w:rsid w:val="009E4E8B"/>
    <w:rsid w:val="009E4F57"/>
    <w:rsid w:val="009E50D4"/>
    <w:rsid w:val="009E5792"/>
    <w:rsid w:val="009E6E3E"/>
    <w:rsid w:val="009E74F7"/>
    <w:rsid w:val="009F0150"/>
    <w:rsid w:val="009F0477"/>
    <w:rsid w:val="009F2322"/>
    <w:rsid w:val="009F27DE"/>
    <w:rsid w:val="009F2F9C"/>
    <w:rsid w:val="009F422B"/>
    <w:rsid w:val="009F4DEA"/>
    <w:rsid w:val="009F5874"/>
    <w:rsid w:val="009F7615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4CC"/>
    <w:rsid w:val="00A07C43"/>
    <w:rsid w:val="00A10394"/>
    <w:rsid w:val="00A10E05"/>
    <w:rsid w:val="00A10EF3"/>
    <w:rsid w:val="00A11B6A"/>
    <w:rsid w:val="00A14368"/>
    <w:rsid w:val="00A14C91"/>
    <w:rsid w:val="00A1553C"/>
    <w:rsid w:val="00A16E5E"/>
    <w:rsid w:val="00A17BBA"/>
    <w:rsid w:val="00A20A3C"/>
    <w:rsid w:val="00A215F1"/>
    <w:rsid w:val="00A21845"/>
    <w:rsid w:val="00A21E49"/>
    <w:rsid w:val="00A220CD"/>
    <w:rsid w:val="00A22D5E"/>
    <w:rsid w:val="00A253B7"/>
    <w:rsid w:val="00A255E6"/>
    <w:rsid w:val="00A2637C"/>
    <w:rsid w:val="00A30DC5"/>
    <w:rsid w:val="00A32AF3"/>
    <w:rsid w:val="00A32DEE"/>
    <w:rsid w:val="00A35C31"/>
    <w:rsid w:val="00A35E68"/>
    <w:rsid w:val="00A3644D"/>
    <w:rsid w:val="00A369D8"/>
    <w:rsid w:val="00A378D6"/>
    <w:rsid w:val="00A40BBD"/>
    <w:rsid w:val="00A420FE"/>
    <w:rsid w:val="00A43182"/>
    <w:rsid w:val="00A444EB"/>
    <w:rsid w:val="00A44A2F"/>
    <w:rsid w:val="00A4538B"/>
    <w:rsid w:val="00A46B0F"/>
    <w:rsid w:val="00A46D53"/>
    <w:rsid w:val="00A47CEA"/>
    <w:rsid w:val="00A47EA5"/>
    <w:rsid w:val="00A51AF9"/>
    <w:rsid w:val="00A523F3"/>
    <w:rsid w:val="00A525FD"/>
    <w:rsid w:val="00A52918"/>
    <w:rsid w:val="00A54593"/>
    <w:rsid w:val="00A5470C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2BD7"/>
    <w:rsid w:val="00A63320"/>
    <w:rsid w:val="00A634C3"/>
    <w:rsid w:val="00A656FD"/>
    <w:rsid w:val="00A6622C"/>
    <w:rsid w:val="00A66ED9"/>
    <w:rsid w:val="00A70246"/>
    <w:rsid w:val="00A72066"/>
    <w:rsid w:val="00A73A93"/>
    <w:rsid w:val="00A747FD"/>
    <w:rsid w:val="00A7503F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D3C"/>
    <w:rsid w:val="00A8797B"/>
    <w:rsid w:val="00A932A4"/>
    <w:rsid w:val="00A93782"/>
    <w:rsid w:val="00A939C2"/>
    <w:rsid w:val="00A94264"/>
    <w:rsid w:val="00A94BD6"/>
    <w:rsid w:val="00A9545A"/>
    <w:rsid w:val="00A95728"/>
    <w:rsid w:val="00A958BB"/>
    <w:rsid w:val="00A959D6"/>
    <w:rsid w:val="00A95D4D"/>
    <w:rsid w:val="00A9612A"/>
    <w:rsid w:val="00A97AFA"/>
    <w:rsid w:val="00AA225B"/>
    <w:rsid w:val="00AA2501"/>
    <w:rsid w:val="00AA5778"/>
    <w:rsid w:val="00AA7E36"/>
    <w:rsid w:val="00AB181D"/>
    <w:rsid w:val="00AB2D61"/>
    <w:rsid w:val="00AB30D7"/>
    <w:rsid w:val="00AB3BAA"/>
    <w:rsid w:val="00AB454E"/>
    <w:rsid w:val="00AB5655"/>
    <w:rsid w:val="00AB65CF"/>
    <w:rsid w:val="00AB65E6"/>
    <w:rsid w:val="00AB75E7"/>
    <w:rsid w:val="00AC0322"/>
    <w:rsid w:val="00AC0C88"/>
    <w:rsid w:val="00AC155A"/>
    <w:rsid w:val="00AC1A94"/>
    <w:rsid w:val="00AC3033"/>
    <w:rsid w:val="00AC33A9"/>
    <w:rsid w:val="00AC3E50"/>
    <w:rsid w:val="00AC3E6D"/>
    <w:rsid w:val="00AC5E0B"/>
    <w:rsid w:val="00AC609E"/>
    <w:rsid w:val="00AC6759"/>
    <w:rsid w:val="00AC6EE8"/>
    <w:rsid w:val="00AC7452"/>
    <w:rsid w:val="00AD024E"/>
    <w:rsid w:val="00AD0626"/>
    <w:rsid w:val="00AD0FAA"/>
    <w:rsid w:val="00AD39CE"/>
    <w:rsid w:val="00AD69AB"/>
    <w:rsid w:val="00AD6C14"/>
    <w:rsid w:val="00AD77BE"/>
    <w:rsid w:val="00AE2BA4"/>
    <w:rsid w:val="00AE2EB9"/>
    <w:rsid w:val="00AE2F93"/>
    <w:rsid w:val="00AE4AF8"/>
    <w:rsid w:val="00AE52C5"/>
    <w:rsid w:val="00AE5B3D"/>
    <w:rsid w:val="00AF44AC"/>
    <w:rsid w:val="00AF5A72"/>
    <w:rsid w:val="00AF5D6D"/>
    <w:rsid w:val="00AF6417"/>
    <w:rsid w:val="00B01CD0"/>
    <w:rsid w:val="00B02BA6"/>
    <w:rsid w:val="00B0417D"/>
    <w:rsid w:val="00B07338"/>
    <w:rsid w:val="00B07D6A"/>
    <w:rsid w:val="00B11F50"/>
    <w:rsid w:val="00B12396"/>
    <w:rsid w:val="00B12F53"/>
    <w:rsid w:val="00B17660"/>
    <w:rsid w:val="00B1779C"/>
    <w:rsid w:val="00B1785B"/>
    <w:rsid w:val="00B20AB5"/>
    <w:rsid w:val="00B21443"/>
    <w:rsid w:val="00B23F90"/>
    <w:rsid w:val="00B24E6E"/>
    <w:rsid w:val="00B25824"/>
    <w:rsid w:val="00B25A51"/>
    <w:rsid w:val="00B27B74"/>
    <w:rsid w:val="00B31480"/>
    <w:rsid w:val="00B31D11"/>
    <w:rsid w:val="00B3260D"/>
    <w:rsid w:val="00B32DA1"/>
    <w:rsid w:val="00B37333"/>
    <w:rsid w:val="00B37C64"/>
    <w:rsid w:val="00B40404"/>
    <w:rsid w:val="00B41611"/>
    <w:rsid w:val="00B41BD8"/>
    <w:rsid w:val="00B43525"/>
    <w:rsid w:val="00B439D0"/>
    <w:rsid w:val="00B4453A"/>
    <w:rsid w:val="00B446C0"/>
    <w:rsid w:val="00B45A86"/>
    <w:rsid w:val="00B46EE8"/>
    <w:rsid w:val="00B475CA"/>
    <w:rsid w:val="00B47F5A"/>
    <w:rsid w:val="00B502F1"/>
    <w:rsid w:val="00B52358"/>
    <w:rsid w:val="00B53555"/>
    <w:rsid w:val="00B5408B"/>
    <w:rsid w:val="00B55AB1"/>
    <w:rsid w:val="00B56D53"/>
    <w:rsid w:val="00B60296"/>
    <w:rsid w:val="00B603E5"/>
    <w:rsid w:val="00B61095"/>
    <w:rsid w:val="00B61900"/>
    <w:rsid w:val="00B62425"/>
    <w:rsid w:val="00B624E8"/>
    <w:rsid w:val="00B62CD4"/>
    <w:rsid w:val="00B62F3D"/>
    <w:rsid w:val="00B633E7"/>
    <w:rsid w:val="00B637D5"/>
    <w:rsid w:val="00B6622A"/>
    <w:rsid w:val="00B6637F"/>
    <w:rsid w:val="00B66FC1"/>
    <w:rsid w:val="00B67991"/>
    <w:rsid w:val="00B67A23"/>
    <w:rsid w:val="00B71AFD"/>
    <w:rsid w:val="00B71C5F"/>
    <w:rsid w:val="00B72BBB"/>
    <w:rsid w:val="00B73974"/>
    <w:rsid w:val="00B73EF5"/>
    <w:rsid w:val="00B74CAA"/>
    <w:rsid w:val="00B7515F"/>
    <w:rsid w:val="00B75A44"/>
    <w:rsid w:val="00B75E08"/>
    <w:rsid w:val="00B75E32"/>
    <w:rsid w:val="00B763AB"/>
    <w:rsid w:val="00B76EF4"/>
    <w:rsid w:val="00B807D3"/>
    <w:rsid w:val="00B80955"/>
    <w:rsid w:val="00B81D9E"/>
    <w:rsid w:val="00B82601"/>
    <w:rsid w:val="00B82BA9"/>
    <w:rsid w:val="00B83464"/>
    <w:rsid w:val="00B839CD"/>
    <w:rsid w:val="00B86D11"/>
    <w:rsid w:val="00B90C15"/>
    <w:rsid w:val="00B93988"/>
    <w:rsid w:val="00B93B2F"/>
    <w:rsid w:val="00B9454E"/>
    <w:rsid w:val="00B947F0"/>
    <w:rsid w:val="00B94ADF"/>
    <w:rsid w:val="00BA17E3"/>
    <w:rsid w:val="00BA1FA3"/>
    <w:rsid w:val="00BA3505"/>
    <w:rsid w:val="00BA45E5"/>
    <w:rsid w:val="00BA494F"/>
    <w:rsid w:val="00BA6C8B"/>
    <w:rsid w:val="00BA75BE"/>
    <w:rsid w:val="00BA78C3"/>
    <w:rsid w:val="00BB01CF"/>
    <w:rsid w:val="00BB0D44"/>
    <w:rsid w:val="00BB164F"/>
    <w:rsid w:val="00BB2294"/>
    <w:rsid w:val="00BB247D"/>
    <w:rsid w:val="00BB6576"/>
    <w:rsid w:val="00BC05E1"/>
    <w:rsid w:val="00BC1449"/>
    <w:rsid w:val="00BC16A2"/>
    <w:rsid w:val="00BC1AAE"/>
    <w:rsid w:val="00BC1B1E"/>
    <w:rsid w:val="00BC2C2D"/>
    <w:rsid w:val="00BC2EB0"/>
    <w:rsid w:val="00BC36BD"/>
    <w:rsid w:val="00BC394C"/>
    <w:rsid w:val="00BC41FC"/>
    <w:rsid w:val="00BC4673"/>
    <w:rsid w:val="00BC471C"/>
    <w:rsid w:val="00BC523A"/>
    <w:rsid w:val="00BC58EE"/>
    <w:rsid w:val="00BD0DE1"/>
    <w:rsid w:val="00BD5A78"/>
    <w:rsid w:val="00BD5FAD"/>
    <w:rsid w:val="00BD749E"/>
    <w:rsid w:val="00BE1572"/>
    <w:rsid w:val="00BE28A7"/>
    <w:rsid w:val="00BE4EBD"/>
    <w:rsid w:val="00BE6581"/>
    <w:rsid w:val="00BE6A1E"/>
    <w:rsid w:val="00BE6ED3"/>
    <w:rsid w:val="00BE71E2"/>
    <w:rsid w:val="00BE72BB"/>
    <w:rsid w:val="00BE7741"/>
    <w:rsid w:val="00BF06F1"/>
    <w:rsid w:val="00BF1F55"/>
    <w:rsid w:val="00BF218D"/>
    <w:rsid w:val="00BF3D50"/>
    <w:rsid w:val="00BF4831"/>
    <w:rsid w:val="00BF5336"/>
    <w:rsid w:val="00BF557B"/>
    <w:rsid w:val="00BF59D7"/>
    <w:rsid w:val="00C01741"/>
    <w:rsid w:val="00C01F79"/>
    <w:rsid w:val="00C020C9"/>
    <w:rsid w:val="00C023BA"/>
    <w:rsid w:val="00C023FB"/>
    <w:rsid w:val="00C03603"/>
    <w:rsid w:val="00C03D5A"/>
    <w:rsid w:val="00C0478B"/>
    <w:rsid w:val="00C04D72"/>
    <w:rsid w:val="00C054CE"/>
    <w:rsid w:val="00C05740"/>
    <w:rsid w:val="00C0638C"/>
    <w:rsid w:val="00C0784C"/>
    <w:rsid w:val="00C07E35"/>
    <w:rsid w:val="00C122DE"/>
    <w:rsid w:val="00C12B0A"/>
    <w:rsid w:val="00C12BCE"/>
    <w:rsid w:val="00C1432B"/>
    <w:rsid w:val="00C14563"/>
    <w:rsid w:val="00C150A1"/>
    <w:rsid w:val="00C157DC"/>
    <w:rsid w:val="00C17B8F"/>
    <w:rsid w:val="00C17C1E"/>
    <w:rsid w:val="00C2069C"/>
    <w:rsid w:val="00C21F15"/>
    <w:rsid w:val="00C221B6"/>
    <w:rsid w:val="00C2324C"/>
    <w:rsid w:val="00C2562F"/>
    <w:rsid w:val="00C2580B"/>
    <w:rsid w:val="00C25CFB"/>
    <w:rsid w:val="00C26562"/>
    <w:rsid w:val="00C2674F"/>
    <w:rsid w:val="00C274FD"/>
    <w:rsid w:val="00C2772F"/>
    <w:rsid w:val="00C30EF0"/>
    <w:rsid w:val="00C30FF1"/>
    <w:rsid w:val="00C318E7"/>
    <w:rsid w:val="00C3235D"/>
    <w:rsid w:val="00C32AAD"/>
    <w:rsid w:val="00C32C02"/>
    <w:rsid w:val="00C32FBA"/>
    <w:rsid w:val="00C330C9"/>
    <w:rsid w:val="00C333C3"/>
    <w:rsid w:val="00C33D65"/>
    <w:rsid w:val="00C340D2"/>
    <w:rsid w:val="00C34C76"/>
    <w:rsid w:val="00C3637C"/>
    <w:rsid w:val="00C363A6"/>
    <w:rsid w:val="00C3682D"/>
    <w:rsid w:val="00C36C25"/>
    <w:rsid w:val="00C42024"/>
    <w:rsid w:val="00C4499B"/>
    <w:rsid w:val="00C4689B"/>
    <w:rsid w:val="00C476D8"/>
    <w:rsid w:val="00C47784"/>
    <w:rsid w:val="00C5028D"/>
    <w:rsid w:val="00C50CD3"/>
    <w:rsid w:val="00C50E90"/>
    <w:rsid w:val="00C52615"/>
    <w:rsid w:val="00C538FF"/>
    <w:rsid w:val="00C53CF0"/>
    <w:rsid w:val="00C53F19"/>
    <w:rsid w:val="00C54AD1"/>
    <w:rsid w:val="00C5531E"/>
    <w:rsid w:val="00C554F7"/>
    <w:rsid w:val="00C56BA6"/>
    <w:rsid w:val="00C573CC"/>
    <w:rsid w:val="00C574F1"/>
    <w:rsid w:val="00C57D89"/>
    <w:rsid w:val="00C611B7"/>
    <w:rsid w:val="00C61E7D"/>
    <w:rsid w:val="00C6289F"/>
    <w:rsid w:val="00C6311D"/>
    <w:rsid w:val="00C6583C"/>
    <w:rsid w:val="00C67B5C"/>
    <w:rsid w:val="00C70058"/>
    <w:rsid w:val="00C70AFF"/>
    <w:rsid w:val="00C7106C"/>
    <w:rsid w:val="00C713C8"/>
    <w:rsid w:val="00C731D5"/>
    <w:rsid w:val="00C73263"/>
    <w:rsid w:val="00C73855"/>
    <w:rsid w:val="00C7585C"/>
    <w:rsid w:val="00C75B20"/>
    <w:rsid w:val="00C761B7"/>
    <w:rsid w:val="00C76709"/>
    <w:rsid w:val="00C76F5F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A5C"/>
    <w:rsid w:val="00C90C92"/>
    <w:rsid w:val="00C90EFB"/>
    <w:rsid w:val="00C916A7"/>
    <w:rsid w:val="00C91DC8"/>
    <w:rsid w:val="00C91E86"/>
    <w:rsid w:val="00C92E08"/>
    <w:rsid w:val="00C97009"/>
    <w:rsid w:val="00C97DDE"/>
    <w:rsid w:val="00CA025C"/>
    <w:rsid w:val="00CA08A1"/>
    <w:rsid w:val="00CA2A74"/>
    <w:rsid w:val="00CA4A07"/>
    <w:rsid w:val="00CA7F03"/>
    <w:rsid w:val="00CB0AA7"/>
    <w:rsid w:val="00CB287E"/>
    <w:rsid w:val="00CB43DF"/>
    <w:rsid w:val="00CB52AA"/>
    <w:rsid w:val="00CC223E"/>
    <w:rsid w:val="00CC26F8"/>
    <w:rsid w:val="00CC36A4"/>
    <w:rsid w:val="00CC59F8"/>
    <w:rsid w:val="00CC5ADB"/>
    <w:rsid w:val="00CC6A78"/>
    <w:rsid w:val="00CC729A"/>
    <w:rsid w:val="00CD0A6F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CBF"/>
    <w:rsid w:val="00CD7F67"/>
    <w:rsid w:val="00CE0E42"/>
    <w:rsid w:val="00CE103D"/>
    <w:rsid w:val="00CE41EA"/>
    <w:rsid w:val="00CE56CC"/>
    <w:rsid w:val="00CE7AB1"/>
    <w:rsid w:val="00CF0E2A"/>
    <w:rsid w:val="00CF10E1"/>
    <w:rsid w:val="00CF12A9"/>
    <w:rsid w:val="00CF159B"/>
    <w:rsid w:val="00CF3481"/>
    <w:rsid w:val="00CF5746"/>
    <w:rsid w:val="00CF6BA7"/>
    <w:rsid w:val="00CF7440"/>
    <w:rsid w:val="00D007AA"/>
    <w:rsid w:val="00D0484B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5523"/>
    <w:rsid w:val="00D173E6"/>
    <w:rsid w:val="00D204D5"/>
    <w:rsid w:val="00D21BED"/>
    <w:rsid w:val="00D24769"/>
    <w:rsid w:val="00D30150"/>
    <w:rsid w:val="00D30380"/>
    <w:rsid w:val="00D30732"/>
    <w:rsid w:val="00D30972"/>
    <w:rsid w:val="00D30C61"/>
    <w:rsid w:val="00D31897"/>
    <w:rsid w:val="00D31E95"/>
    <w:rsid w:val="00D32845"/>
    <w:rsid w:val="00D32871"/>
    <w:rsid w:val="00D33540"/>
    <w:rsid w:val="00D34026"/>
    <w:rsid w:val="00D364DD"/>
    <w:rsid w:val="00D373FE"/>
    <w:rsid w:val="00D37955"/>
    <w:rsid w:val="00D40A56"/>
    <w:rsid w:val="00D41585"/>
    <w:rsid w:val="00D42DB9"/>
    <w:rsid w:val="00D43771"/>
    <w:rsid w:val="00D44B4D"/>
    <w:rsid w:val="00D450DB"/>
    <w:rsid w:val="00D46A51"/>
    <w:rsid w:val="00D46DA2"/>
    <w:rsid w:val="00D4777B"/>
    <w:rsid w:val="00D47E45"/>
    <w:rsid w:val="00D47E71"/>
    <w:rsid w:val="00D50AD8"/>
    <w:rsid w:val="00D51596"/>
    <w:rsid w:val="00D51D31"/>
    <w:rsid w:val="00D5326B"/>
    <w:rsid w:val="00D5484C"/>
    <w:rsid w:val="00D561A9"/>
    <w:rsid w:val="00D56A81"/>
    <w:rsid w:val="00D570C1"/>
    <w:rsid w:val="00D602D8"/>
    <w:rsid w:val="00D61C9D"/>
    <w:rsid w:val="00D61F9B"/>
    <w:rsid w:val="00D641F6"/>
    <w:rsid w:val="00D64CBE"/>
    <w:rsid w:val="00D66842"/>
    <w:rsid w:val="00D66F60"/>
    <w:rsid w:val="00D704F7"/>
    <w:rsid w:val="00D70925"/>
    <w:rsid w:val="00D70981"/>
    <w:rsid w:val="00D70E8C"/>
    <w:rsid w:val="00D74642"/>
    <w:rsid w:val="00D7550A"/>
    <w:rsid w:val="00D756A6"/>
    <w:rsid w:val="00D81A76"/>
    <w:rsid w:val="00D81D5E"/>
    <w:rsid w:val="00D823D2"/>
    <w:rsid w:val="00D835FE"/>
    <w:rsid w:val="00D840AD"/>
    <w:rsid w:val="00D8532F"/>
    <w:rsid w:val="00D856D8"/>
    <w:rsid w:val="00D8593D"/>
    <w:rsid w:val="00D85AE9"/>
    <w:rsid w:val="00D85C22"/>
    <w:rsid w:val="00D86151"/>
    <w:rsid w:val="00D87B80"/>
    <w:rsid w:val="00D90AC0"/>
    <w:rsid w:val="00D91E24"/>
    <w:rsid w:val="00D920C8"/>
    <w:rsid w:val="00D9296C"/>
    <w:rsid w:val="00D9303E"/>
    <w:rsid w:val="00D93DEB"/>
    <w:rsid w:val="00D95575"/>
    <w:rsid w:val="00D97527"/>
    <w:rsid w:val="00D97E01"/>
    <w:rsid w:val="00DA180A"/>
    <w:rsid w:val="00DA1E97"/>
    <w:rsid w:val="00DA4238"/>
    <w:rsid w:val="00DA4251"/>
    <w:rsid w:val="00DA6CFE"/>
    <w:rsid w:val="00DA7DBF"/>
    <w:rsid w:val="00DB1A66"/>
    <w:rsid w:val="00DB2AE0"/>
    <w:rsid w:val="00DB331A"/>
    <w:rsid w:val="00DB542A"/>
    <w:rsid w:val="00DB5B7A"/>
    <w:rsid w:val="00DB6303"/>
    <w:rsid w:val="00DB63AF"/>
    <w:rsid w:val="00DB75B7"/>
    <w:rsid w:val="00DC01FE"/>
    <w:rsid w:val="00DC05C3"/>
    <w:rsid w:val="00DC0E18"/>
    <w:rsid w:val="00DC2209"/>
    <w:rsid w:val="00DC2874"/>
    <w:rsid w:val="00DC300B"/>
    <w:rsid w:val="00DC30EF"/>
    <w:rsid w:val="00DC327D"/>
    <w:rsid w:val="00DD01F4"/>
    <w:rsid w:val="00DD05EC"/>
    <w:rsid w:val="00DD329D"/>
    <w:rsid w:val="00DD4C2A"/>
    <w:rsid w:val="00DD7032"/>
    <w:rsid w:val="00DD7D21"/>
    <w:rsid w:val="00DE07BF"/>
    <w:rsid w:val="00DE18E0"/>
    <w:rsid w:val="00DE37C8"/>
    <w:rsid w:val="00DE4E89"/>
    <w:rsid w:val="00DE5189"/>
    <w:rsid w:val="00DE5A78"/>
    <w:rsid w:val="00DE7821"/>
    <w:rsid w:val="00DF0132"/>
    <w:rsid w:val="00DF06CC"/>
    <w:rsid w:val="00DF087E"/>
    <w:rsid w:val="00DF10B3"/>
    <w:rsid w:val="00DF1A0E"/>
    <w:rsid w:val="00DF2438"/>
    <w:rsid w:val="00DF2641"/>
    <w:rsid w:val="00DF36D6"/>
    <w:rsid w:val="00DF3870"/>
    <w:rsid w:val="00DF3AF5"/>
    <w:rsid w:val="00DF468E"/>
    <w:rsid w:val="00DF494B"/>
    <w:rsid w:val="00DF4A64"/>
    <w:rsid w:val="00DF4F86"/>
    <w:rsid w:val="00DF57EC"/>
    <w:rsid w:val="00DF5A56"/>
    <w:rsid w:val="00DF6459"/>
    <w:rsid w:val="00DF7719"/>
    <w:rsid w:val="00E004F2"/>
    <w:rsid w:val="00E0055C"/>
    <w:rsid w:val="00E011DD"/>
    <w:rsid w:val="00E01555"/>
    <w:rsid w:val="00E01BB6"/>
    <w:rsid w:val="00E03C0B"/>
    <w:rsid w:val="00E0439E"/>
    <w:rsid w:val="00E069C2"/>
    <w:rsid w:val="00E0793E"/>
    <w:rsid w:val="00E1280D"/>
    <w:rsid w:val="00E133DF"/>
    <w:rsid w:val="00E152AA"/>
    <w:rsid w:val="00E15824"/>
    <w:rsid w:val="00E17011"/>
    <w:rsid w:val="00E17234"/>
    <w:rsid w:val="00E17653"/>
    <w:rsid w:val="00E17760"/>
    <w:rsid w:val="00E1785F"/>
    <w:rsid w:val="00E17923"/>
    <w:rsid w:val="00E214D0"/>
    <w:rsid w:val="00E23337"/>
    <w:rsid w:val="00E23A3D"/>
    <w:rsid w:val="00E24134"/>
    <w:rsid w:val="00E244C0"/>
    <w:rsid w:val="00E25BBE"/>
    <w:rsid w:val="00E25C7D"/>
    <w:rsid w:val="00E273A0"/>
    <w:rsid w:val="00E27A37"/>
    <w:rsid w:val="00E30BF5"/>
    <w:rsid w:val="00E331DF"/>
    <w:rsid w:val="00E337B1"/>
    <w:rsid w:val="00E343ED"/>
    <w:rsid w:val="00E34642"/>
    <w:rsid w:val="00E4052D"/>
    <w:rsid w:val="00E449D7"/>
    <w:rsid w:val="00E44CAE"/>
    <w:rsid w:val="00E44F06"/>
    <w:rsid w:val="00E45B05"/>
    <w:rsid w:val="00E4600A"/>
    <w:rsid w:val="00E466F4"/>
    <w:rsid w:val="00E47525"/>
    <w:rsid w:val="00E51D4D"/>
    <w:rsid w:val="00E528CF"/>
    <w:rsid w:val="00E5367B"/>
    <w:rsid w:val="00E54089"/>
    <w:rsid w:val="00E55083"/>
    <w:rsid w:val="00E554F6"/>
    <w:rsid w:val="00E55A32"/>
    <w:rsid w:val="00E55FFA"/>
    <w:rsid w:val="00E57130"/>
    <w:rsid w:val="00E6065E"/>
    <w:rsid w:val="00E608AE"/>
    <w:rsid w:val="00E61120"/>
    <w:rsid w:val="00E6135A"/>
    <w:rsid w:val="00E613C1"/>
    <w:rsid w:val="00E61551"/>
    <w:rsid w:val="00E618A1"/>
    <w:rsid w:val="00E6209C"/>
    <w:rsid w:val="00E63FD9"/>
    <w:rsid w:val="00E64D26"/>
    <w:rsid w:val="00E65008"/>
    <w:rsid w:val="00E67EF9"/>
    <w:rsid w:val="00E709C2"/>
    <w:rsid w:val="00E71082"/>
    <w:rsid w:val="00E71258"/>
    <w:rsid w:val="00E71BF2"/>
    <w:rsid w:val="00E7238F"/>
    <w:rsid w:val="00E737A5"/>
    <w:rsid w:val="00E739DA"/>
    <w:rsid w:val="00E743CC"/>
    <w:rsid w:val="00E74BCF"/>
    <w:rsid w:val="00E74FF5"/>
    <w:rsid w:val="00E75AB6"/>
    <w:rsid w:val="00E7603A"/>
    <w:rsid w:val="00E76C2A"/>
    <w:rsid w:val="00E76DC2"/>
    <w:rsid w:val="00E823F1"/>
    <w:rsid w:val="00E823FE"/>
    <w:rsid w:val="00E8346B"/>
    <w:rsid w:val="00E834E4"/>
    <w:rsid w:val="00E850A0"/>
    <w:rsid w:val="00E85CD6"/>
    <w:rsid w:val="00E865FA"/>
    <w:rsid w:val="00E86A88"/>
    <w:rsid w:val="00E86AAC"/>
    <w:rsid w:val="00E87207"/>
    <w:rsid w:val="00E877D2"/>
    <w:rsid w:val="00E879D4"/>
    <w:rsid w:val="00E9025D"/>
    <w:rsid w:val="00E90FB5"/>
    <w:rsid w:val="00E91F93"/>
    <w:rsid w:val="00E92B47"/>
    <w:rsid w:val="00E93CD8"/>
    <w:rsid w:val="00E94CC9"/>
    <w:rsid w:val="00E955C5"/>
    <w:rsid w:val="00E96AC2"/>
    <w:rsid w:val="00E97D86"/>
    <w:rsid w:val="00EA1212"/>
    <w:rsid w:val="00EA173C"/>
    <w:rsid w:val="00EA390A"/>
    <w:rsid w:val="00EA3F94"/>
    <w:rsid w:val="00EA416E"/>
    <w:rsid w:val="00EA41CD"/>
    <w:rsid w:val="00EA5147"/>
    <w:rsid w:val="00EA5EC6"/>
    <w:rsid w:val="00EA6631"/>
    <w:rsid w:val="00EA672E"/>
    <w:rsid w:val="00EA6789"/>
    <w:rsid w:val="00EA6E60"/>
    <w:rsid w:val="00EA710E"/>
    <w:rsid w:val="00EA7EB1"/>
    <w:rsid w:val="00EA7F80"/>
    <w:rsid w:val="00EB26BC"/>
    <w:rsid w:val="00EB38B4"/>
    <w:rsid w:val="00EB5141"/>
    <w:rsid w:val="00EB5AB8"/>
    <w:rsid w:val="00EB702F"/>
    <w:rsid w:val="00EB7BD1"/>
    <w:rsid w:val="00EB7FC3"/>
    <w:rsid w:val="00EC1A58"/>
    <w:rsid w:val="00EC2A70"/>
    <w:rsid w:val="00EC2CE6"/>
    <w:rsid w:val="00EC4B25"/>
    <w:rsid w:val="00EC5A64"/>
    <w:rsid w:val="00ED16E2"/>
    <w:rsid w:val="00ED1CA8"/>
    <w:rsid w:val="00ED1DCB"/>
    <w:rsid w:val="00ED265E"/>
    <w:rsid w:val="00ED5474"/>
    <w:rsid w:val="00ED5C78"/>
    <w:rsid w:val="00ED60BA"/>
    <w:rsid w:val="00ED6CE1"/>
    <w:rsid w:val="00EE0599"/>
    <w:rsid w:val="00EE089D"/>
    <w:rsid w:val="00EE09B9"/>
    <w:rsid w:val="00EE1166"/>
    <w:rsid w:val="00EE118C"/>
    <w:rsid w:val="00EE1AD5"/>
    <w:rsid w:val="00EE1F41"/>
    <w:rsid w:val="00EE221B"/>
    <w:rsid w:val="00EE28B5"/>
    <w:rsid w:val="00EE28D6"/>
    <w:rsid w:val="00EE3716"/>
    <w:rsid w:val="00EE3C46"/>
    <w:rsid w:val="00EE40C1"/>
    <w:rsid w:val="00EE6D43"/>
    <w:rsid w:val="00EF1194"/>
    <w:rsid w:val="00EF23EA"/>
    <w:rsid w:val="00EF2928"/>
    <w:rsid w:val="00EF359F"/>
    <w:rsid w:val="00EF3627"/>
    <w:rsid w:val="00F00DCF"/>
    <w:rsid w:val="00F013C3"/>
    <w:rsid w:val="00F04F9E"/>
    <w:rsid w:val="00F0587E"/>
    <w:rsid w:val="00F05B35"/>
    <w:rsid w:val="00F061BB"/>
    <w:rsid w:val="00F11963"/>
    <w:rsid w:val="00F12BB0"/>
    <w:rsid w:val="00F12C42"/>
    <w:rsid w:val="00F14082"/>
    <w:rsid w:val="00F15E2B"/>
    <w:rsid w:val="00F161F3"/>
    <w:rsid w:val="00F169C6"/>
    <w:rsid w:val="00F20CCA"/>
    <w:rsid w:val="00F21601"/>
    <w:rsid w:val="00F21996"/>
    <w:rsid w:val="00F22611"/>
    <w:rsid w:val="00F22A87"/>
    <w:rsid w:val="00F23E28"/>
    <w:rsid w:val="00F240FE"/>
    <w:rsid w:val="00F24148"/>
    <w:rsid w:val="00F2598C"/>
    <w:rsid w:val="00F25A8C"/>
    <w:rsid w:val="00F26323"/>
    <w:rsid w:val="00F26BB5"/>
    <w:rsid w:val="00F30129"/>
    <w:rsid w:val="00F30D82"/>
    <w:rsid w:val="00F33262"/>
    <w:rsid w:val="00F3745E"/>
    <w:rsid w:val="00F408DA"/>
    <w:rsid w:val="00F41212"/>
    <w:rsid w:val="00F461D6"/>
    <w:rsid w:val="00F46E68"/>
    <w:rsid w:val="00F46F41"/>
    <w:rsid w:val="00F46F5A"/>
    <w:rsid w:val="00F50AA4"/>
    <w:rsid w:val="00F51B91"/>
    <w:rsid w:val="00F53A2A"/>
    <w:rsid w:val="00F55362"/>
    <w:rsid w:val="00F55648"/>
    <w:rsid w:val="00F5585E"/>
    <w:rsid w:val="00F56516"/>
    <w:rsid w:val="00F575B9"/>
    <w:rsid w:val="00F61CFD"/>
    <w:rsid w:val="00F6227E"/>
    <w:rsid w:val="00F64028"/>
    <w:rsid w:val="00F6490D"/>
    <w:rsid w:val="00F64CAA"/>
    <w:rsid w:val="00F654B9"/>
    <w:rsid w:val="00F675E8"/>
    <w:rsid w:val="00F67970"/>
    <w:rsid w:val="00F714AC"/>
    <w:rsid w:val="00F71B7F"/>
    <w:rsid w:val="00F74023"/>
    <w:rsid w:val="00F75935"/>
    <w:rsid w:val="00F75F66"/>
    <w:rsid w:val="00F75F6A"/>
    <w:rsid w:val="00F764E0"/>
    <w:rsid w:val="00F76E5E"/>
    <w:rsid w:val="00F80620"/>
    <w:rsid w:val="00F81CA3"/>
    <w:rsid w:val="00F81D23"/>
    <w:rsid w:val="00F829D5"/>
    <w:rsid w:val="00F83B71"/>
    <w:rsid w:val="00F83E02"/>
    <w:rsid w:val="00F849E0"/>
    <w:rsid w:val="00F868EE"/>
    <w:rsid w:val="00F86C46"/>
    <w:rsid w:val="00F90710"/>
    <w:rsid w:val="00F9101A"/>
    <w:rsid w:val="00F915D7"/>
    <w:rsid w:val="00F9160E"/>
    <w:rsid w:val="00F9163A"/>
    <w:rsid w:val="00F9262F"/>
    <w:rsid w:val="00F92EED"/>
    <w:rsid w:val="00F93236"/>
    <w:rsid w:val="00F94E73"/>
    <w:rsid w:val="00F94E90"/>
    <w:rsid w:val="00F95265"/>
    <w:rsid w:val="00F9548C"/>
    <w:rsid w:val="00F95E57"/>
    <w:rsid w:val="00F96650"/>
    <w:rsid w:val="00FA04A8"/>
    <w:rsid w:val="00FA1A69"/>
    <w:rsid w:val="00FA1B7A"/>
    <w:rsid w:val="00FA1DA4"/>
    <w:rsid w:val="00FA298B"/>
    <w:rsid w:val="00FA2E31"/>
    <w:rsid w:val="00FA5803"/>
    <w:rsid w:val="00FA6038"/>
    <w:rsid w:val="00FA6782"/>
    <w:rsid w:val="00FA6FCD"/>
    <w:rsid w:val="00FA7F94"/>
    <w:rsid w:val="00FB0466"/>
    <w:rsid w:val="00FB0A52"/>
    <w:rsid w:val="00FB1328"/>
    <w:rsid w:val="00FB1E65"/>
    <w:rsid w:val="00FB3088"/>
    <w:rsid w:val="00FB32FE"/>
    <w:rsid w:val="00FB5240"/>
    <w:rsid w:val="00FB6078"/>
    <w:rsid w:val="00FB6429"/>
    <w:rsid w:val="00FB74CC"/>
    <w:rsid w:val="00FB7836"/>
    <w:rsid w:val="00FB7868"/>
    <w:rsid w:val="00FB7EB3"/>
    <w:rsid w:val="00FC046A"/>
    <w:rsid w:val="00FC0BEC"/>
    <w:rsid w:val="00FC1EB3"/>
    <w:rsid w:val="00FC2492"/>
    <w:rsid w:val="00FC2DCB"/>
    <w:rsid w:val="00FC3A5F"/>
    <w:rsid w:val="00FC3DD8"/>
    <w:rsid w:val="00FC44D0"/>
    <w:rsid w:val="00FC482A"/>
    <w:rsid w:val="00FC55DE"/>
    <w:rsid w:val="00FC69F3"/>
    <w:rsid w:val="00FC7E6B"/>
    <w:rsid w:val="00FC7FF5"/>
    <w:rsid w:val="00FD1B50"/>
    <w:rsid w:val="00FD1CEA"/>
    <w:rsid w:val="00FD24ED"/>
    <w:rsid w:val="00FD4534"/>
    <w:rsid w:val="00FD4AA3"/>
    <w:rsid w:val="00FE12A0"/>
    <w:rsid w:val="00FE1687"/>
    <w:rsid w:val="00FE1F55"/>
    <w:rsid w:val="00FE3769"/>
    <w:rsid w:val="00FE429A"/>
    <w:rsid w:val="00FE4E2A"/>
    <w:rsid w:val="00FE528A"/>
    <w:rsid w:val="00FE65C6"/>
    <w:rsid w:val="00FE6E45"/>
    <w:rsid w:val="00FF1FF4"/>
    <w:rsid w:val="00FF2CFD"/>
    <w:rsid w:val="00FF2F9F"/>
    <w:rsid w:val="00FF448D"/>
    <w:rsid w:val="00FF45DF"/>
    <w:rsid w:val="00FF4E67"/>
    <w:rsid w:val="00FF4FD1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ED099-F595-449A-B795-5738F027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5470C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7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A5470C"/>
  </w:style>
  <w:style w:type="character" w:customStyle="1" w:styleId="apple-converted-space">
    <w:name w:val="apple-converted-space"/>
    <w:basedOn w:val="DefaultParagraphFont"/>
    <w:rsid w:val="00A5470C"/>
  </w:style>
  <w:style w:type="character" w:customStyle="1" w:styleId="valuedownii">
    <w:name w:val="value_downii"/>
    <w:basedOn w:val="DefaultParagraphFont"/>
    <w:rsid w:val="00A5470C"/>
  </w:style>
  <w:style w:type="paragraph" w:styleId="NormalWeb">
    <w:name w:val="Normal (Web)"/>
    <w:basedOn w:val="Normal"/>
    <w:uiPriority w:val="99"/>
    <w:semiHidden/>
    <w:unhideWhenUsed/>
    <w:rsid w:val="00A5470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5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arl+icahn+apple+cash+pi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26544-CBD4-47CD-B50E-4057689A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14979</TotalTime>
  <Pages>13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318</cp:revision>
  <cp:lastPrinted>2022-03-08T05:55:00Z</cp:lastPrinted>
  <dcterms:created xsi:type="dcterms:W3CDTF">2014-03-01T11:33:00Z</dcterms:created>
  <dcterms:modified xsi:type="dcterms:W3CDTF">2022-03-08T06:16:00Z</dcterms:modified>
</cp:coreProperties>
</file>