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51" w:rsidRPr="009A3576" w:rsidRDefault="00824651" w:rsidP="0082465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Long Term Asset Price </w:t>
      </w:r>
      <w:r w:rsidR="00A60E46">
        <w:rPr>
          <w:rFonts w:asciiTheme="majorHAnsi" w:hAnsiTheme="majorHAnsi"/>
          <w:b/>
          <w:i/>
          <w:color w:val="800000"/>
          <w:sz w:val="72"/>
          <w:szCs w:val="72"/>
        </w:rPr>
        <w:t>Growth is Exponential</w:t>
      </w:r>
    </w:p>
    <w:p w:rsidR="0025088B" w:rsidRDefault="0025088B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Although weak form market efficiency says that asset prices follow a random walk that depends on news, they do tend to drift higher, which </w:t>
      </w:r>
      <w:r w:rsidR="00FC0628">
        <w:rPr>
          <w:rFonts w:asciiTheme="majorHAnsi" w:hAnsiTheme="majorHAnsi"/>
          <w:color w:val="003366"/>
          <w:sz w:val="52"/>
          <w:szCs w:val="52"/>
        </w:rPr>
        <w:t>reflects</w:t>
      </w:r>
      <w:r>
        <w:rPr>
          <w:rFonts w:asciiTheme="majorHAnsi" w:hAnsiTheme="majorHAnsi"/>
          <w:color w:val="003366"/>
          <w:sz w:val="52"/>
          <w:szCs w:val="52"/>
        </w:rPr>
        <w:t xml:space="preserve"> the capital </w:t>
      </w:r>
      <w:r w:rsidR="00FC0628">
        <w:rPr>
          <w:rFonts w:asciiTheme="majorHAnsi" w:hAnsiTheme="majorHAnsi"/>
          <w:color w:val="003366"/>
          <w:sz w:val="52"/>
          <w:szCs w:val="52"/>
        </w:rPr>
        <w:t>return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824651" w:rsidRDefault="00824651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Asset price growth is exponential due to the power of compounding. </w:t>
      </w:r>
    </w:p>
    <w:p w:rsidR="00A60E46" w:rsidRDefault="00A60E4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A60E46" w:rsidRDefault="00A60E46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Advantage of Log Graphs</w:t>
      </w:r>
    </w:p>
    <w:p w:rsidR="00824651" w:rsidRDefault="00A60E46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Many analysts prefer to see 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long-term stock price graphs </w:t>
      </w:r>
      <w:r>
        <w:rPr>
          <w:rFonts w:asciiTheme="majorHAnsi" w:hAnsiTheme="majorHAnsi"/>
          <w:color w:val="003366"/>
          <w:sz w:val="52"/>
          <w:szCs w:val="52"/>
        </w:rPr>
        <w:t xml:space="preserve">on a 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log-scale. This </w:t>
      </w:r>
      <w:r w:rsidR="00311D4A">
        <w:rPr>
          <w:rFonts w:asciiTheme="majorHAnsi" w:hAnsiTheme="majorHAnsi"/>
          <w:color w:val="003366"/>
          <w:sz w:val="52"/>
          <w:szCs w:val="52"/>
        </w:rPr>
        <w:t xml:space="preserve">prevents the 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graph </w:t>
      </w:r>
      <w:r w:rsidR="00311D4A">
        <w:rPr>
          <w:rFonts w:asciiTheme="majorHAnsi" w:hAnsiTheme="majorHAnsi"/>
          <w:color w:val="003366"/>
          <w:sz w:val="52"/>
          <w:szCs w:val="52"/>
        </w:rPr>
        <w:t xml:space="preserve">from </w:t>
      </w:r>
      <w:r w:rsidR="00824651">
        <w:rPr>
          <w:rFonts w:asciiTheme="majorHAnsi" w:hAnsiTheme="majorHAnsi"/>
          <w:color w:val="003366"/>
          <w:sz w:val="52"/>
          <w:szCs w:val="52"/>
        </w:rPr>
        <w:t>look</w:t>
      </w:r>
      <w:r w:rsidR="00311D4A">
        <w:rPr>
          <w:rFonts w:asciiTheme="majorHAnsi" w:hAnsiTheme="majorHAnsi"/>
          <w:color w:val="003366"/>
          <w:sz w:val="52"/>
          <w:szCs w:val="52"/>
        </w:rPr>
        <w:t>ing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 like an exponential curve</w:t>
      </w:r>
      <w:r w:rsidR="00311D4A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(y=</m:t>
        </m:r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sup>
        </m:sSup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311D4A">
        <w:rPr>
          <w:rFonts w:asciiTheme="majorHAnsi" w:hAnsiTheme="majorHAnsi"/>
          <w:color w:val="003366"/>
          <w:sz w:val="52"/>
          <w:szCs w:val="52"/>
        </w:rPr>
        <w:t>.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11D4A">
        <w:rPr>
          <w:rFonts w:asciiTheme="majorHAnsi" w:hAnsiTheme="majorHAnsi"/>
          <w:color w:val="003366"/>
          <w:sz w:val="52"/>
          <w:szCs w:val="52"/>
        </w:rPr>
        <w:t xml:space="preserve">Exponential graphs can 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make large price changes in the past look small compared to </w:t>
      </w:r>
      <w:r w:rsidR="00311D4A">
        <w:rPr>
          <w:rFonts w:asciiTheme="majorHAnsi" w:hAnsiTheme="majorHAnsi"/>
          <w:color w:val="003366"/>
          <w:sz w:val="52"/>
          <w:szCs w:val="52"/>
        </w:rPr>
        <w:t xml:space="preserve">equally large proportional </w:t>
      </w:r>
      <w:r w:rsidR="00824651">
        <w:rPr>
          <w:rFonts w:asciiTheme="majorHAnsi" w:hAnsiTheme="majorHAnsi"/>
          <w:color w:val="003366"/>
          <w:sz w:val="52"/>
          <w:szCs w:val="52"/>
        </w:rPr>
        <w:t xml:space="preserve">price changes in the present. </w:t>
      </w:r>
    </w:p>
    <w:p w:rsidR="009B41B1" w:rsidRDefault="009B41B1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Graphs with logged data series or axes have the </w:t>
      </w:r>
      <w:r w:rsidRPr="009B41B1">
        <w:rPr>
          <w:rFonts w:asciiTheme="majorHAnsi" w:hAnsiTheme="majorHAnsi"/>
          <w:color w:val="003366"/>
          <w:sz w:val="52"/>
          <w:szCs w:val="52"/>
        </w:rPr>
        <w:t xml:space="preserve">advantage </w:t>
      </w:r>
      <w:r>
        <w:rPr>
          <w:rFonts w:asciiTheme="majorHAnsi" w:hAnsiTheme="majorHAnsi"/>
          <w:color w:val="003366"/>
          <w:sz w:val="52"/>
          <w:szCs w:val="52"/>
        </w:rPr>
        <w:t xml:space="preserve">that </w:t>
      </w:r>
      <w:r w:rsidRPr="009B41B1">
        <w:rPr>
          <w:rFonts w:asciiTheme="majorHAnsi" w:hAnsiTheme="majorHAnsi"/>
          <w:b/>
          <w:color w:val="003366"/>
          <w:sz w:val="52"/>
          <w:szCs w:val="52"/>
        </w:rPr>
        <w:t>equal vertical falls correspond to equal percentage falls</w:t>
      </w:r>
      <w:r w:rsidRPr="009B41B1">
        <w:rPr>
          <w:rFonts w:asciiTheme="majorHAnsi" w:hAnsiTheme="majorHAnsi"/>
          <w:color w:val="003366"/>
          <w:sz w:val="52"/>
          <w:szCs w:val="52"/>
        </w:rPr>
        <w:t xml:space="preserve">. </w:t>
      </w:r>
      <w:r>
        <w:rPr>
          <w:rFonts w:asciiTheme="majorHAnsi" w:hAnsiTheme="majorHAnsi"/>
          <w:color w:val="003366"/>
          <w:sz w:val="52"/>
          <w:szCs w:val="52"/>
        </w:rPr>
        <w:t>This f</w:t>
      </w:r>
      <w:r w:rsidRPr="009B41B1">
        <w:rPr>
          <w:rFonts w:asciiTheme="majorHAnsi" w:hAnsiTheme="majorHAnsi"/>
          <w:color w:val="003366"/>
          <w:sz w:val="52"/>
          <w:szCs w:val="52"/>
        </w:rPr>
        <w:t xml:space="preserve">ixes </w:t>
      </w: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9B41B1">
        <w:rPr>
          <w:rFonts w:asciiTheme="majorHAnsi" w:hAnsiTheme="majorHAnsi"/>
          <w:color w:val="003366"/>
          <w:sz w:val="52"/>
          <w:szCs w:val="52"/>
        </w:rPr>
        <w:t xml:space="preserve">'base effect' problem. </w:t>
      </w:r>
    </w:p>
    <w:p w:rsidR="00311D4A" w:rsidRDefault="00311D4A" w:rsidP="009B4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Below is a long term stock price graph with a log scale, produced by Reserve Bank of Australia as part of their </w:t>
      </w:r>
      <w:hyperlink r:id="rId8" w:history="1">
        <w:r w:rsidRPr="00311D4A">
          <w:rPr>
            <w:rStyle w:val="Hyperlink"/>
            <w:rFonts w:asciiTheme="majorHAnsi" w:hAnsiTheme="majorHAnsi"/>
            <w:sz w:val="52"/>
            <w:szCs w:val="52"/>
          </w:rPr>
          <w:t>chart pack</w:t>
        </w:r>
      </w:hyperlink>
      <w:r>
        <w:rPr>
          <w:rFonts w:asciiTheme="majorHAnsi" w:hAnsiTheme="majorHAnsi"/>
          <w:color w:val="003366"/>
          <w:sz w:val="52"/>
          <w:szCs w:val="52"/>
        </w:rPr>
        <w:t xml:space="preserve"> which contains charts shown to the RBA board.</w:t>
      </w:r>
    </w:p>
    <w:p w:rsidR="00311D4A" w:rsidRDefault="008463B1" w:rsidP="00311D4A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8463B1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>
            <wp:extent cx="8863330" cy="6888074"/>
            <wp:effectExtent l="0" t="0" r="0" b="0"/>
            <wp:docPr id="1" name="Picture 1" descr="C:\Users\keith\Downloads\major-economies-share-price-indices\major-economies-share-price-indic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ith\Downloads\major-economies-share-price-indices\major-economies-share-price-indice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88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28" w:rsidRDefault="00726298" w:rsidP="009B41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next graph shows the US S&amp;P500 capital index. Note that the capital index does not re-invest dividends and buybacks, unlike the accumulation index. </w:t>
      </w:r>
    </w:p>
    <w:p w:rsidR="00A60E46" w:rsidRDefault="00726298" w:rsidP="006301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Let’s </w:t>
      </w:r>
      <w:r w:rsidR="00630128">
        <w:rPr>
          <w:rFonts w:asciiTheme="majorHAnsi" w:hAnsiTheme="majorHAnsi"/>
          <w:color w:val="003366"/>
          <w:sz w:val="52"/>
          <w:szCs w:val="52"/>
        </w:rPr>
        <w:t>compare the Great Depression that began in 1929 and the Great Recession (or Global Financial Crisis or GFC) that started in 2007.</w:t>
      </w:r>
    </w:p>
    <w:p w:rsidR="00630128" w:rsidRDefault="00630128" w:rsidP="006301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 the </w:t>
      </w:r>
      <w:r w:rsidRPr="008463B1">
        <w:rPr>
          <w:rFonts w:asciiTheme="majorHAnsi" w:hAnsiTheme="majorHAnsi"/>
          <w:color w:val="0070C0"/>
          <w:sz w:val="52"/>
          <w:szCs w:val="52"/>
        </w:rPr>
        <w:t>blue</w:t>
      </w:r>
      <w:r>
        <w:rPr>
          <w:rFonts w:asciiTheme="majorHAnsi" w:hAnsiTheme="majorHAnsi"/>
          <w:color w:val="003366"/>
          <w:sz w:val="52"/>
          <w:szCs w:val="52"/>
        </w:rPr>
        <w:t xml:space="preserve"> linear graph, the Great Depression looks insignificant while the GFC looks far more severe. </w:t>
      </w:r>
    </w:p>
    <w:p w:rsidR="00630128" w:rsidRDefault="00630128" w:rsidP="006301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However, on the </w:t>
      </w:r>
      <w:r w:rsidRPr="008463B1">
        <w:rPr>
          <w:rFonts w:asciiTheme="majorHAnsi" w:hAnsiTheme="majorHAnsi"/>
          <w:color w:val="C00000"/>
          <w:sz w:val="52"/>
          <w:szCs w:val="52"/>
        </w:rPr>
        <w:t>red</w:t>
      </w:r>
      <w:r>
        <w:rPr>
          <w:rFonts w:asciiTheme="majorHAnsi" w:hAnsiTheme="majorHAnsi"/>
          <w:color w:val="003366"/>
          <w:sz w:val="52"/>
          <w:szCs w:val="52"/>
        </w:rPr>
        <w:t xml:space="preserve"> logarithmic graph, the Great Depression looks more severe than the GFC, and it was. The vertical fall in the red line from peak to trough during the Great Depression was </w:t>
      </w:r>
      <w:r w:rsidR="001F27F6">
        <w:rPr>
          <w:rFonts w:asciiTheme="majorHAnsi" w:hAnsiTheme="majorHAnsi"/>
          <w:color w:val="003366"/>
          <w:sz w:val="52"/>
          <w:szCs w:val="52"/>
        </w:rPr>
        <w:t xml:space="preserve">around </w:t>
      </w:r>
      <w:r>
        <w:rPr>
          <w:rFonts w:asciiTheme="majorHAnsi" w:hAnsiTheme="majorHAnsi"/>
          <w:color w:val="003366"/>
          <w:sz w:val="52"/>
          <w:szCs w:val="52"/>
        </w:rPr>
        <w:t xml:space="preserve">twice as big as the fall in the GFC, therefore the percentage fall was twice as big. </w:t>
      </w:r>
    </w:p>
    <w:p w:rsidR="00C07B1C" w:rsidRDefault="00C07B1C">
      <w:pPr>
        <w:spacing w:after="200" w:line="276" w:lineRule="auto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-196215</wp:posOffset>
            </wp:positionV>
            <wp:extent cx="10663555" cy="69456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555" cy="694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br w:type="page"/>
      </w:r>
      <w:bookmarkStart w:id="0" w:name="_GoBack"/>
      <w:bookmarkEnd w:id="0"/>
    </w:p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697"/>
        <w:gridCol w:w="2822"/>
        <w:gridCol w:w="267"/>
        <w:gridCol w:w="3038"/>
        <w:gridCol w:w="1623"/>
      </w:tblGrid>
      <w:tr w:rsidR="00581359" w:rsidTr="00581359">
        <w:trPr>
          <w:trHeight w:val="669"/>
        </w:trPr>
        <w:tc>
          <w:tcPr>
            <w:tcW w:w="13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Pr="00581359" w:rsidRDefault="00581359">
            <w:pPr>
              <w:jc w:val="center"/>
              <w:rPr>
                <w:rFonts w:ascii="Calibri" w:hAnsi="Calibri" w:cs="Calibri"/>
                <w:b/>
                <w:color w:val="000000"/>
                <w:sz w:val="40"/>
                <w:szCs w:val="40"/>
                <w:lang w:val="en-AU"/>
              </w:rPr>
            </w:pPr>
            <w:r w:rsidRPr="00581359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lastRenderedPageBreak/>
              <w:t>S&amp;P500 Capital Index Performance During Two Crises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Great Depression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Global Financial Crisis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Peak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Trough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Peak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Trough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16-Sep-29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1-Jun-32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9-Oct-07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9-Mar-09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Closing price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31.86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4.4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F7179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1565.15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F7179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676.53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 w:rsidP="00B8484F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581359">
              <w:rPr>
                <w:rFonts w:ascii="Calibri" w:hAnsi="Calibri" w:cs="Calibri"/>
                <w:color w:val="000000"/>
                <w:sz w:val="40"/>
                <w:szCs w:val="40"/>
              </w:rPr>
              <w:t>Effective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>r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eturn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>=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>(p</w:t>
            </w:r>
            <w:r w:rsidR="00306AE4" w:rsidRPr="00306AE4">
              <w:rPr>
                <w:rFonts w:ascii="Calibri" w:hAnsi="Calibri" w:cs="Calibri"/>
                <w:color w:val="000000"/>
                <w:sz w:val="40"/>
                <w:szCs w:val="40"/>
                <w:vertAlign w:val="subscript"/>
              </w:rPr>
              <w:t>1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>-p</w:t>
            </w:r>
            <w:r w:rsidR="00306AE4" w:rsidRPr="00306AE4">
              <w:rPr>
                <w:rFonts w:ascii="Calibri" w:hAnsi="Calibri" w:cs="Calibri"/>
                <w:color w:val="000000"/>
                <w:sz w:val="40"/>
                <w:szCs w:val="40"/>
                <w:vertAlign w:val="subscript"/>
              </w:rPr>
              <w:t>0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>)/p</w:t>
            </w:r>
            <w:r w:rsidR="00306AE4" w:rsidRPr="00306AE4">
              <w:rPr>
                <w:rFonts w:ascii="Calibri" w:hAnsi="Calibri" w:cs="Calibri"/>
                <w:color w:val="000000"/>
                <w:sz w:val="40"/>
                <w:szCs w:val="40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0F29FC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Over period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-86.19% over 989 days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-56.78% over 517 days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0F29FC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Per annum*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-39.62% pa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-33.56% pa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484F" w:rsidRDefault="00581359" w:rsidP="00B8484F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Cont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>inuously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comp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>ounded</w:t>
            </w:r>
            <w:r w:rsidR="00306AE4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</w:p>
          <w:p w:rsidR="00581359" w:rsidRDefault="00306AE4" w:rsidP="00B8484F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ret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urn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=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ln(p</w:t>
            </w:r>
            <w:r>
              <w:rPr>
                <w:rFonts w:ascii="Calibri" w:hAnsi="Calibri" w:cs="Calibri"/>
                <w:color w:val="000000"/>
                <w:sz w:val="40"/>
                <w:szCs w:val="40"/>
                <w:vertAlign w:val="subscript"/>
              </w:rPr>
              <w:t>1</w:t>
            </w:r>
            <w:r w:rsidR="00B8484F">
              <w:rPr>
                <w:rFonts w:ascii="Calibri" w:hAnsi="Calibri" w:cs="Calibri"/>
                <w:color w:val="000000"/>
                <w:sz w:val="40"/>
                <w:szCs w:val="40"/>
              </w:rPr>
              <w:t>/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p</w:t>
            </w:r>
            <w:r w:rsidRPr="00306AE4">
              <w:rPr>
                <w:rFonts w:ascii="Calibri" w:hAnsi="Calibri" w:cs="Calibri"/>
                <w:color w:val="000000"/>
                <w:sz w:val="40"/>
                <w:szCs w:val="40"/>
                <w:vertAlign w:val="subscript"/>
              </w:rPr>
              <w:t>0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)</w:t>
            </w:r>
            <w:r w:rsidR="00581359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0F29FC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Over period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-197.97% over 989 days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 w:rsidP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-83.88%% over 517 days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0F29FC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>Per annum*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-50.44% pa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1359" w:rsidRDefault="00581359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-40.88% pa</w:t>
            </w:r>
          </w:p>
        </w:tc>
      </w:tr>
      <w:tr w:rsidR="00B8484F" w:rsidTr="00C07B1C">
        <w:trPr>
          <w:trHeight w:val="66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B8484F" w:rsidTr="00C07B1C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/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81359" w:rsidRDefault="00581359"/>
        </w:tc>
      </w:tr>
    </w:tbl>
    <w:p w:rsidR="002961D2" w:rsidRPr="00581359" w:rsidRDefault="000F29FC" w:rsidP="009B41B1">
      <w:pPr>
        <w:spacing w:after="200" w:line="276" w:lineRule="auto"/>
        <w:rPr>
          <w:rFonts w:asciiTheme="majorHAnsi" w:hAnsiTheme="majorHAnsi"/>
          <w:color w:val="003366"/>
          <w:sz w:val="40"/>
          <w:szCs w:val="40"/>
        </w:rPr>
      </w:pPr>
      <w:r w:rsidRPr="00581359">
        <w:rPr>
          <w:rFonts w:ascii="Calibri" w:hAnsi="Calibri" w:cs="Calibri"/>
          <w:color w:val="000000"/>
          <w:sz w:val="40"/>
          <w:szCs w:val="40"/>
          <w:lang w:val="en-AU" w:eastAsia="en-AU"/>
        </w:rPr>
        <w:t>*Assumes 252 trading days per year.</w:t>
      </w:r>
      <w:r>
        <w:rPr>
          <w:rFonts w:ascii="Calibri" w:hAnsi="Calibri" w:cs="Calibri"/>
          <w:color w:val="000000"/>
          <w:sz w:val="40"/>
          <w:szCs w:val="40"/>
          <w:lang w:val="en-AU" w:eastAsia="en-AU"/>
        </w:rPr>
        <w:t xml:space="preserve"> </w:t>
      </w:r>
      <w:r w:rsidR="002961D2" w:rsidRPr="00581359">
        <w:rPr>
          <w:rFonts w:ascii="Calibri" w:hAnsi="Calibri" w:cs="Calibri"/>
          <w:color w:val="000000"/>
          <w:sz w:val="40"/>
          <w:szCs w:val="40"/>
          <w:lang w:val="en-AU" w:eastAsia="en-AU"/>
        </w:rPr>
        <w:t>Source: Bloomberg</w:t>
      </w:r>
    </w:p>
    <w:p w:rsidR="002961D2" w:rsidRDefault="006B6CB9" w:rsidP="009B41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As you can see from the table and red logarithmic graph, the Great Depression was a far more severe crash in proport</w:t>
      </w:r>
      <w:r w:rsidR="008463B1">
        <w:rPr>
          <w:rFonts w:asciiTheme="majorHAnsi" w:hAnsiTheme="majorHAnsi"/>
          <w:color w:val="003366"/>
          <w:sz w:val="52"/>
          <w:szCs w:val="52"/>
        </w:rPr>
        <w:t>ional terms compared to the GFC.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463B1">
        <w:rPr>
          <w:rFonts w:asciiTheme="majorHAnsi" w:hAnsiTheme="majorHAnsi"/>
          <w:color w:val="003366"/>
          <w:sz w:val="52"/>
          <w:szCs w:val="52"/>
        </w:rPr>
        <w:t xml:space="preserve">But </w:t>
      </w:r>
      <w:r>
        <w:rPr>
          <w:rFonts w:asciiTheme="majorHAnsi" w:hAnsiTheme="majorHAnsi"/>
          <w:color w:val="003366"/>
          <w:sz w:val="52"/>
          <w:szCs w:val="52"/>
        </w:rPr>
        <w:t>because the index was so low back in 1929 compared to 2007, the huge fall in 1929 is barely visible in the blue linear graph.</w:t>
      </w:r>
    </w:p>
    <w:p w:rsidR="00654205" w:rsidRDefault="00654205" w:rsidP="009B41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this reason, long term stock graphs are best presented using a logarithmic scale, such as </w:t>
      </w:r>
      <w:r w:rsidR="00807AF5">
        <w:rPr>
          <w:rFonts w:asciiTheme="majorHAnsi" w:hAnsiTheme="majorHAnsi"/>
          <w:color w:val="003366"/>
          <w:sz w:val="52"/>
          <w:szCs w:val="52"/>
        </w:rPr>
        <w:t xml:space="preserve">in </w:t>
      </w:r>
      <w:r>
        <w:rPr>
          <w:rFonts w:asciiTheme="majorHAnsi" w:hAnsiTheme="majorHAnsi"/>
          <w:color w:val="003366"/>
          <w:sz w:val="52"/>
          <w:szCs w:val="52"/>
        </w:rPr>
        <w:t>this Vanguard graph:</w:t>
      </w:r>
    </w:p>
    <w:p w:rsidR="00807AF5" w:rsidRPr="001A7059" w:rsidRDefault="0098346E" w:rsidP="009B41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11" w:history="1">
        <w:r w:rsidR="001A7059" w:rsidRPr="001A7059">
          <w:rPr>
            <w:rStyle w:val="Hyperlink"/>
            <w:sz w:val="52"/>
            <w:szCs w:val="52"/>
          </w:rPr>
          <w:t>https://www.vanguardinvestments.com.au/retail/ret/campaign/indexchart2019.jsp</w:t>
        </w:r>
      </w:hyperlink>
    </w:p>
    <w:p w:rsidR="00654205" w:rsidRDefault="00654205" w:rsidP="009B41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654205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6E" w:rsidRDefault="0098346E" w:rsidP="00A656FD">
      <w:r>
        <w:separator/>
      </w:r>
    </w:p>
  </w:endnote>
  <w:endnote w:type="continuationSeparator" w:id="0">
    <w:p w:rsidR="0098346E" w:rsidRDefault="0098346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82AAF" w:rsidRPr="00A656FD" w:rsidRDefault="00B66BFC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282AAF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FA5651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82AAF" w:rsidRPr="00A656FD" w:rsidRDefault="00282A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6E" w:rsidRDefault="0098346E" w:rsidP="00A656FD">
      <w:r>
        <w:separator/>
      </w:r>
    </w:p>
  </w:footnote>
  <w:footnote w:type="continuationSeparator" w:id="0">
    <w:p w:rsidR="0098346E" w:rsidRDefault="0098346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25D"/>
    <w:multiLevelType w:val="hybridMultilevel"/>
    <w:tmpl w:val="C9E27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21AC5"/>
    <w:multiLevelType w:val="hybridMultilevel"/>
    <w:tmpl w:val="35E63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3A53"/>
    <w:multiLevelType w:val="hybridMultilevel"/>
    <w:tmpl w:val="7AB4E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BB6A6A"/>
    <w:multiLevelType w:val="hybridMultilevel"/>
    <w:tmpl w:val="7CF08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26E81"/>
    <w:multiLevelType w:val="hybridMultilevel"/>
    <w:tmpl w:val="73D6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C5556"/>
    <w:multiLevelType w:val="hybridMultilevel"/>
    <w:tmpl w:val="1EBC8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B1BFD"/>
    <w:multiLevelType w:val="hybridMultilevel"/>
    <w:tmpl w:val="D2DCC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276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743C7"/>
    <w:multiLevelType w:val="hybridMultilevel"/>
    <w:tmpl w:val="DB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E44E2"/>
    <w:multiLevelType w:val="hybridMultilevel"/>
    <w:tmpl w:val="920EC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F2883"/>
    <w:multiLevelType w:val="hybridMultilevel"/>
    <w:tmpl w:val="A9D60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B15D5"/>
    <w:multiLevelType w:val="hybridMultilevel"/>
    <w:tmpl w:val="677C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57F39"/>
    <w:multiLevelType w:val="hybridMultilevel"/>
    <w:tmpl w:val="EC5C3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5D7"/>
    <w:multiLevelType w:val="hybridMultilevel"/>
    <w:tmpl w:val="3C68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B3C7C"/>
    <w:multiLevelType w:val="hybridMultilevel"/>
    <w:tmpl w:val="3D5C5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5"/>
  </w:num>
  <w:num w:numId="4">
    <w:abstractNumId w:val="37"/>
  </w:num>
  <w:num w:numId="5">
    <w:abstractNumId w:val="16"/>
  </w:num>
  <w:num w:numId="6">
    <w:abstractNumId w:val="4"/>
  </w:num>
  <w:num w:numId="7">
    <w:abstractNumId w:val="39"/>
  </w:num>
  <w:num w:numId="8">
    <w:abstractNumId w:val="29"/>
  </w:num>
  <w:num w:numId="9">
    <w:abstractNumId w:val="32"/>
  </w:num>
  <w:num w:numId="10">
    <w:abstractNumId w:val="49"/>
  </w:num>
  <w:num w:numId="11">
    <w:abstractNumId w:val="0"/>
  </w:num>
  <w:num w:numId="12">
    <w:abstractNumId w:val="28"/>
  </w:num>
  <w:num w:numId="13">
    <w:abstractNumId w:val="23"/>
  </w:num>
  <w:num w:numId="14">
    <w:abstractNumId w:val="47"/>
  </w:num>
  <w:num w:numId="15">
    <w:abstractNumId w:val="14"/>
  </w:num>
  <w:num w:numId="16">
    <w:abstractNumId w:val="1"/>
  </w:num>
  <w:num w:numId="17">
    <w:abstractNumId w:val="27"/>
  </w:num>
  <w:num w:numId="18">
    <w:abstractNumId w:val="19"/>
  </w:num>
  <w:num w:numId="19">
    <w:abstractNumId w:val="46"/>
  </w:num>
  <w:num w:numId="20">
    <w:abstractNumId w:val="11"/>
  </w:num>
  <w:num w:numId="21">
    <w:abstractNumId w:val="34"/>
  </w:num>
  <w:num w:numId="22">
    <w:abstractNumId w:val="2"/>
  </w:num>
  <w:num w:numId="23">
    <w:abstractNumId w:val="25"/>
  </w:num>
  <w:num w:numId="24">
    <w:abstractNumId w:val="13"/>
  </w:num>
  <w:num w:numId="25">
    <w:abstractNumId w:val="48"/>
  </w:num>
  <w:num w:numId="26">
    <w:abstractNumId w:val="15"/>
  </w:num>
  <w:num w:numId="27">
    <w:abstractNumId w:val="26"/>
  </w:num>
  <w:num w:numId="28">
    <w:abstractNumId w:val="42"/>
  </w:num>
  <w:num w:numId="29">
    <w:abstractNumId w:val="41"/>
  </w:num>
  <w:num w:numId="30">
    <w:abstractNumId w:val="31"/>
  </w:num>
  <w:num w:numId="31">
    <w:abstractNumId w:val="7"/>
  </w:num>
  <w:num w:numId="32">
    <w:abstractNumId w:val="8"/>
  </w:num>
  <w:num w:numId="33">
    <w:abstractNumId w:val="36"/>
  </w:num>
  <w:num w:numId="34">
    <w:abstractNumId w:val="18"/>
  </w:num>
  <w:num w:numId="35">
    <w:abstractNumId w:val="24"/>
  </w:num>
  <w:num w:numId="36">
    <w:abstractNumId w:val="3"/>
  </w:num>
  <w:num w:numId="37">
    <w:abstractNumId w:val="44"/>
  </w:num>
  <w:num w:numId="38">
    <w:abstractNumId w:val="30"/>
  </w:num>
  <w:num w:numId="39">
    <w:abstractNumId w:val="20"/>
  </w:num>
  <w:num w:numId="40">
    <w:abstractNumId w:val="12"/>
  </w:num>
  <w:num w:numId="41">
    <w:abstractNumId w:val="43"/>
  </w:num>
  <w:num w:numId="42">
    <w:abstractNumId w:val="10"/>
  </w:num>
  <w:num w:numId="43">
    <w:abstractNumId w:val="6"/>
  </w:num>
  <w:num w:numId="44">
    <w:abstractNumId w:val="40"/>
  </w:num>
  <w:num w:numId="45">
    <w:abstractNumId w:val="38"/>
  </w:num>
  <w:num w:numId="46">
    <w:abstractNumId w:val="5"/>
  </w:num>
  <w:num w:numId="47">
    <w:abstractNumId w:val="22"/>
  </w:num>
  <w:num w:numId="48">
    <w:abstractNumId w:val="9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663E"/>
    <w:rsid w:val="00006CB6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17692"/>
    <w:rsid w:val="0002080B"/>
    <w:rsid w:val="00020C9E"/>
    <w:rsid w:val="00020F2B"/>
    <w:rsid w:val="000225FD"/>
    <w:rsid w:val="00023385"/>
    <w:rsid w:val="0002481A"/>
    <w:rsid w:val="00024C4D"/>
    <w:rsid w:val="0002526B"/>
    <w:rsid w:val="00032A58"/>
    <w:rsid w:val="00033185"/>
    <w:rsid w:val="00034951"/>
    <w:rsid w:val="00034C18"/>
    <w:rsid w:val="000367B8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6087D"/>
    <w:rsid w:val="00064304"/>
    <w:rsid w:val="00064A96"/>
    <w:rsid w:val="00065962"/>
    <w:rsid w:val="000665A5"/>
    <w:rsid w:val="0006779F"/>
    <w:rsid w:val="00070C6B"/>
    <w:rsid w:val="00072B25"/>
    <w:rsid w:val="00073366"/>
    <w:rsid w:val="00073A05"/>
    <w:rsid w:val="00075871"/>
    <w:rsid w:val="000761AD"/>
    <w:rsid w:val="00077BDF"/>
    <w:rsid w:val="0008324B"/>
    <w:rsid w:val="0008353E"/>
    <w:rsid w:val="00083A35"/>
    <w:rsid w:val="0008532B"/>
    <w:rsid w:val="0008623B"/>
    <w:rsid w:val="00086D33"/>
    <w:rsid w:val="000904AF"/>
    <w:rsid w:val="00091AE8"/>
    <w:rsid w:val="00091EA0"/>
    <w:rsid w:val="00092585"/>
    <w:rsid w:val="000961CA"/>
    <w:rsid w:val="0009744B"/>
    <w:rsid w:val="000A1BA6"/>
    <w:rsid w:val="000A1F9C"/>
    <w:rsid w:val="000A2558"/>
    <w:rsid w:val="000A51E0"/>
    <w:rsid w:val="000A5DDA"/>
    <w:rsid w:val="000A628E"/>
    <w:rsid w:val="000A7625"/>
    <w:rsid w:val="000A76DF"/>
    <w:rsid w:val="000A7E76"/>
    <w:rsid w:val="000B2D1A"/>
    <w:rsid w:val="000B3A6C"/>
    <w:rsid w:val="000B3CD1"/>
    <w:rsid w:val="000B3D5C"/>
    <w:rsid w:val="000B40EC"/>
    <w:rsid w:val="000B40FD"/>
    <w:rsid w:val="000B787C"/>
    <w:rsid w:val="000C2965"/>
    <w:rsid w:val="000C2C56"/>
    <w:rsid w:val="000C586B"/>
    <w:rsid w:val="000C6250"/>
    <w:rsid w:val="000D24DF"/>
    <w:rsid w:val="000D4513"/>
    <w:rsid w:val="000D46D7"/>
    <w:rsid w:val="000D4D63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C03"/>
    <w:rsid w:val="000F02DC"/>
    <w:rsid w:val="000F29FC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10F41"/>
    <w:rsid w:val="00111851"/>
    <w:rsid w:val="00112B84"/>
    <w:rsid w:val="001142D6"/>
    <w:rsid w:val="00120534"/>
    <w:rsid w:val="00121CEC"/>
    <w:rsid w:val="0012215A"/>
    <w:rsid w:val="001229E1"/>
    <w:rsid w:val="00122D1B"/>
    <w:rsid w:val="00124768"/>
    <w:rsid w:val="00125CDC"/>
    <w:rsid w:val="001262FE"/>
    <w:rsid w:val="0013028A"/>
    <w:rsid w:val="0013150D"/>
    <w:rsid w:val="00131BC8"/>
    <w:rsid w:val="00131E6C"/>
    <w:rsid w:val="00132E87"/>
    <w:rsid w:val="001361E8"/>
    <w:rsid w:val="00136B4D"/>
    <w:rsid w:val="00140120"/>
    <w:rsid w:val="001405F2"/>
    <w:rsid w:val="00146C45"/>
    <w:rsid w:val="00151D1F"/>
    <w:rsid w:val="00151FC2"/>
    <w:rsid w:val="00152755"/>
    <w:rsid w:val="001531A9"/>
    <w:rsid w:val="001545BA"/>
    <w:rsid w:val="001556A7"/>
    <w:rsid w:val="00160515"/>
    <w:rsid w:val="00160899"/>
    <w:rsid w:val="001611A0"/>
    <w:rsid w:val="00161A17"/>
    <w:rsid w:val="00162C36"/>
    <w:rsid w:val="00163746"/>
    <w:rsid w:val="001648DD"/>
    <w:rsid w:val="00170E3E"/>
    <w:rsid w:val="00174E51"/>
    <w:rsid w:val="00175ADC"/>
    <w:rsid w:val="00180CCA"/>
    <w:rsid w:val="001813B4"/>
    <w:rsid w:val="00181858"/>
    <w:rsid w:val="00181F5C"/>
    <w:rsid w:val="001825B0"/>
    <w:rsid w:val="00182ACE"/>
    <w:rsid w:val="00182EF9"/>
    <w:rsid w:val="0018359C"/>
    <w:rsid w:val="00183DDE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933"/>
    <w:rsid w:val="001A3B5E"/>
    <w:rsid w:val="001A3E9C"/>
    <w:rsid w:val="001A4B96"/>
    <w:rsid w:val="001A7059"/>
    <w:rsid w:val="001A7560"/>
    <w:rsid w:val="001A7A21"/>
    <w:rsid w:val="001B103F"/>
    <w:rsid w:val="001B619A"/>
    <w:rsid w:val="001B70D9"/>
    <w:rsid w:val="001B767D"/>
    <w:rsid w:val="001C265F"/>
    <w:rsid w:val="001C4069"/>
    <w:rsid w:val="001C7B4B"/>
    <w:rsid w:val="001D1D5A"/>
    <w:rsid w:val="001D2647"/>
    <w:rsid w:val="001D2A68"/>
    <w:rsid w:val="001D33CD"/>
    <w:rsid w:val="001D50EA"/>
    <w:rsid w:val="001D6528"/>
    <w:rsid w:val="001E1D9C"/>
    <w:rsid w:val="001E347A"/>
    <w:rsid w:val="001E4D60"/>
    <w:rsid w:val="001E63A7"/>
    <w:rsid w:val="001F0308"/>
    <w:rsid w:val="001F1EF0"/>
    <w:rsid w:val="001F27F6"/>
    <w:rsid w:val="001F78CE"/>
    <w:rsid w:val="001F79E1"/>
    <w:rsid w:val="00202EE4"/>
    <w:rsid w:val="00205AE5"/>
    <w:rsid w:val="00205B83"/>
    <w:rsid w:val="00207C59"/>
    <w:rsid w:val="002120D5"/>
    <w:rsid w:val="002127C7"/>
    <w:rsid w:val="00212DD6"/>
    <w:rsid w:val="0022159C"/>
    <w:rsid w:val="00223D99"/>
    <w:rsid w:val="002267AA"/>
    <w:rsid w:val="00227163"/>
    <w:rsid w:val="00227713"/>
    <w:rsid w:val="00227B0A"/>
    <w:rsid w:val="00230082"/>
    <w:rsid w:val="0023099C"/>
    <w:rsid w:val="00231364"/>
    <w:rsid w:val="002358B7"/>
    <w:rsid w:val="00235A90"/>
    <w:rsid w:val="002402F7"/>
    <w:rsid w:val="00243C03"/>
    <w:rsid w:val="00244320"/>
    <w:rsid w:val="00245EFB"/>
    <w:rsid w:val="00246FE9"/>
    <w:rsid w:val="0025088B"/>
    <w:rsid w:val="00251B4C"/>
    <w:rsid w:val="00252B7F"/>
    <w:rsid w:val="00253867"/>
    <w:rsid w:val="00254216"/>
    <w:rsid w:val="002640F0"/>
    <w:rsid w:val="002647F4"/>
    <w:rsid w:val="00264BF0"/>
    <w:rsid w:val="00264F13"/>
    <w:rsid w:val="002656AE"/>
    <w:rsid w:val="00266320"/>
    <w:rsid w:val="0026697E"/>
    <w:rsid w:val="00267164"/>
    <w:rsid w:val="00267834"/>
    <w:rsid w:val="002720A4"/>
    <w:rsid w:val="002725F1"/>
    <w:rsid w:val="00272B01"/>
    <w:rsid w:val="00272E29"/>
    <w:rsid w:val="002730FB"/>
    <w:rsid w:val="0027577D"/>
    <w:rsid w:val="00275EAB"/>
    <w:rsid w:val="00277ED8"/>
    <w:rsid w:val="00280278"/>
    <w:rsid w:val="0028040B"/>
    <w:rsid w:val="0028093F"/>
    <w:rsid w:val="00282AAF"/>
    <w:rsid w:val="00283743"/>
    <w:rsid w:val="00284936"/>
    <w:rsid w:val="00284BCC"/>
    <w:rsid w:val="00285E08"/>
    <w:rsid w:val="00287BC0"/>
    <w:rsid w:val="00291EC3"/>
    <w:rsid w:val="0029236C"/>
    <w:rsid w:val="00293632"/>
    <w:rsid w:val="002961D2"/>
    <w:rsid w:val="002A0651"/>
    <w:rsid w:val="002A0BA1"/>
    <w:rsid w:val="002A1AFF"/>
    <w:rsid w:val="002A3224"/>
    <w:rsid w:val="002A6532"/>
    <w:rsid w:val="002B1104"/>
    <w:rsid w:val="002B2C15"/>
    <w:rsid w:val="002B379B"/>
    <w:rsid w:val="002B46FC"/>
    <w:rsid w:val="002B5C0D"/>
    <w:rsid w:val="002B636D"/>
    <w:rsid w:val="002B6DE6"/>
    <w:rsid w:val="002C0FE7"/>
    <w:rsid w:val="002C1FC7"/>
    <w:rsid w:val="002C4B20"/>
    <w:rsid w:val="002C4E5A"/>
    <w:rsid w:val="002D0114"/>
    <w:rsid w:val="002D4AC1"/>
    <w:rsid w:val="002D7EAA"/>
    <w:rsid w:val="002E179D"/>
    <w:rsid w:val="002E2064"/>
    <w:rsid w:val="002E3E57"/>
    <w:rsid w:val="002E4011"/>
    <w:rsid w:val="002E4976"/>
    <w:rsid w:val="002E4B1A"/>
    <w:rsid w:val="002E557C"/>
    <w:rsid w:val="002E580F"/>
    <w:rsid w:val="002F0BFA"/>
    <w:rsid w:val="002F1368"/>
    <w:rsid w:val="002F2B51"/>
    <w:rsid w:val="002F31E7"/>
    <w:rsid w:val="002F482A"/>
    <w:rsid w:val="0030046F"/>
    <w:rsid w:val="00300585"/>
    <w:rsid w:val="00302CFA"/>
    <w:rsid w:val="00305C6D"/>
    <w:rsid w:val="00305FB6"/>
    <w:rsid w:val="00306AE4"/>
    <w:rsid w:val="00311D4A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3D85"/>
    <w:rsid w:val="003245BF"/>
    <w:rsid w:val="00324AA7"/>
    <w:rsid w:val="00325349"/>
    <w:rsid w:val="003269CD"/>
    <w:rsid w:val="00327317"/>
    <w:rsid w:val="00327C3B"/>
    <w:rsid w:val="0033458D"/>
    <w:rsid w:val="00334BE0"/>
    <w:rsid w:val="003363EF"/>
    <w:rsid w:val="0033670C"/>
    <w:rsid w:val="003370C9"/>
    <w:rsid w:val="00337FC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452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367"/>
    <w:rsid w:val="003B0D99"/>
    <w:rsid w:val="003B171B"/>
    <w:rsid w:val="003B39F6"/>
    <w:rsid w:val="003B3A83"/>
    <w:rsid w:val="003B4AF1"/>
    <w:rsid w:val="003B57E9"/>
    <w:rsid w:val="003B64EE"/>
    <w:rsid w:val="003B7779"/>
    <w:rsid w:val="003C0DF1"/>
    <w:rsid w:val="003C1279"/>
    <w:rsid w:val="003C13D8"/>
    <w:rsid w:val="003C1F28"/>
    <w:rsid w:val="003C1FFC"/>
    <w:rsid w:val="003C3022"/>
    <w:rsid w:val="003C38A9"/>
    <w:rsid w:val="003C3B0B"/>
    <w:rsid w:val="003C3E3B"/>
    <w:rsid w:val="003C50F6"/>
    <w:rsid w:val="003C69F5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439A"/>
    <w:rsid w:val="003E6E55"/>
    <w:rsid w:val="003E7753"/>
    <w:rsid w:val="003F0C0C"/>
    <w:rsid w:val="003F5F5C"/>
    <w:rsid w:val="00401549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3FDF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309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75C9"/>
    <w:rsid w:val="0047071B"/>
    <w:rsid w:val="00473F72"/>
    <w:rsid w:val="0047407C"/>
    <w:rsid w:val="00475717"/>
    <w:rsid w:val="00475E3D"/>
    <w:rsid w:val="00476149"/>
    <w:rsid w:val="00476B7D"/>
    <w:rsid w:val="004777D9"/>
    <w:rsid w:val="00477AFA"/>
    <w:rsid w:val="00477D42"/>
    <w:rsid w:val="004815CB"/>
    <w:rsid w:val="004823FE"/>
    <w:rsid w:val="00482F6F"/>
    <w:rsid w:val="00486641"/>
    <w:rsid w:val="00486DC5"/>
    <w:rsid w:val="004930D6"/>
    <w:rsid w:val="0049313D"/>
    <w:rsid w:val="00494B0A"/>
    <w:rsid w:val="00496ED2"/>
    <w:rsid w:val="00497559"/>
    <w:rsid w:val="004A0043"/>
    <w:rsid w:val="004A1613"/>
    <w:rsid w:val="004A2289"/>
    <w:rsid w:val="004A2765"/>
    <w:rsid w:val="004A3336"/>
    <w:rsid w:val="004A33AB"/>
    <w:rsid w:val="004A60F7"/>
    <w:rsid w:val="004A7887"/>
    <w:rsid w:val="004B0875"/>
    <w:rsid w:val="004B11B2"/>
    <w:rsid w:val="004B2519"/>
    <w:rsid w:val="004B2AAC"/>
    <w:rsid w:val="004B3103"/>
    <w:rsid w:val="004B60A4"/>
    <w:rsid w:val="004B6106"/>
    <w:rsid w:val="004B697F"/>
    <w:rsid w:val="004B6C64"/>
    <w:rsid w:val="004B7DE9"/>
    <w:rsid w:val="004C24A7"/>
    <w:rsid w:val="004C3BF5"/>
    <w:rsid w:val="004C4EB3"/>
    <w:rsid w:val="004C5317"/>
    <w:rsid w:val="004C61EF"/>
    <w:rsid w:val="004C71A3"/>
    <w:rsid w:val="004D15DB"/>
    <w:rsid w:val="004D199F"/>
    <w:rsid w:val="004D23E4"/>
    <w:rsid w:val="004D246B"/>
    <w:rsid w:val="004D5F4C"/>
    <w:rsid w:val="004E091E"/>
    <w:rsid w:val="004E2B3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61E"/>
    <w:rsid w:val="004F6820"/>
    <w:rsid w:val="004F6E28"/>
    <w:rsid w:val="004F739D"/>
    <w:rsid w:val="004F7FAA"/>
    <w:rsid w:val="00500096"/>
    <w:rsid w:val="0050264B"/>
    <w:rsid w:val="0050380F"/>
    <w:rsid w:val="005043A1"/>
    <w:rsid w:val="005061BF"/>
    <w:rsid w:val="00506233"/>
    <w:rsid w:val="0051065A"/>
    <w:rsid w:val="00511005"/>
    <w:rsid w:val="00511F59"/>
    <w:rsid w:val="005130AD"/>
    <w:rsid w:val="005142D2"/>
    <w:rsid w:val="00515E9E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4AE8"/>
    <w:rsid w:val="005350AD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79A5"/>
    <w:rsid w:val="005611A8"/>
    <w:rsid w:val="00563F0D"/>
    <w:rsid w:val="00565709"/>
    <w:rsid w:val="00566DDB"/>
    <w:rsid w:val="00567776"/>
    <w:rsid w:val="00567CCA"/>
    <w:rsid w:val="00571F05"/>
    <w:rsid w:val="00572141"/>
    <w:rsid w:val="005735F4"/>
    <w:rsid w:val="00580362"/>
    <w:rsid w:val="00580805"/>
    <w:rsid w:val="005812FB"/>
    <w:rsid w:val="00581359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DFD"/>
    <w:rsid w:val="005A6B8A"/>
    <w:rsid w:val="005A7C20"/>
    <w:rsid w:val="005B0BDA"/>
    <w:rsid w:val="005B13CE"/>
    <w:rsid w:val="005B206E"/>
    <w:rsid w:val="005B2636"/>
    <w:rsid w:val="005B3003"/>
    <w:rsid w:val="005B5B3C"/>
    <w:rsid w:val="005B6397"/>
    <w:rsid w:val="005B79A2"/>
    <w:rsid w:val="005B7FCA"/>
    <w:rsid w:val="005C038E"/>
    <w:rsid w:val="005C19C7"/>
    <w:rsid w:val="005C406B"/>
    <w:rsid w:val="005C461E"/>
    <w:rsid w:val="005C647D"/>
    <w:rsid w:val="005D2889"/>
    <w:rsid w:val="005D2B64"/>
    <w:rsid w:val="005D3219"/>
    <w:rsid w:val="005D3BE6"/>
    <w:rsid w:val="005D3CC8"/>
    <w:rsid w:val="005D4555"/>
    <w:rsid w:val="005D597F"/>
    <w:rsid w:val="005D6489"/>
    <w:rsid w:val="005D69F4"/>
    <w:rsid w:val="005E0A7B"/>
    <w:rsid w:val="005E0B46"/>
    <w:rsid w:val="005E0B63"/>
    <w:rsid w:val="005E1D45"/>
    <w:rsid w:val="005E2926"/>
    <w:rsid w:val="005E2E7F"/>
    <w:rsid w:val="005E3D7F"/>
    <w:rsid w:val="005E5865"/>
    <w:rsid w:val="005E6194"/>
    <w:rsid w:val="005E703A"/>
    <w:rsid w:val="005F037B"/>
    <w:rsid w:val="005F25D5"/>
    <w:rsid w:val="005F281E"/>
    <w:rsid w:val="005F56EB"/>
    <w:rsid w:val="005F58A6"/>
    <w:rsid w:val="005F68B9"/>
    <w:rsid w:val="005F6F7C"/>
    <w:rsid w:val="005F7011"/>
    <w:rsid w:val="005F7033"/>
    <w:rsid w:val="005F7A22"/>
    <w:rsid w:val="005F7BA8"/>
    <w:rsid w:val="0060118C"/>
    <w:rsid w:val="006015D9"/>
    <w:rsid w:val="0060299D"/>
    <w:rsid w:val="00603D3E"/>
    <w:rsid w:val="006045C4"/>
    <w:rsid w:val="00604E08"/>
    <w:rsid w:val="00605537"/>
    <w:rsid w:val="00605CF1"/>
    <w:rsid w:val="00607AB6"/>
    <w:rsid w:val="006100E4"/>
    <w:rsid w:val="006111B4"/>
    <w:rsid w:val="0061192A"/>
    <w:rsid w:val="00612181"/>
    <w:rsid w:val="00613157"/>
    <w:rsid w:val="006137D9"/>
    <w:rsid w:val="00613FA8"/>
    <w:rsid w:val="0061603A"/>
    <w:rsid w:val="0061703B"/>
    <w:rsid w:val="006177A9"/>
    <w:rsid w:val="00617DAF"/>
    <w:rsid w:val="006209D3"/>
    <w:rsid w:val="00622E6B"/>
    <w:rsid w:val="00622E8C"/>
    <w:rsid w:val="00622EBE"/>
    <w:rsid w:val="00624DCF"/>
    <w:rsid w:val="00630128"/>
    <w:rsid w:val="00637B20"/>
    <w:rsid w:val="00640B5A"/>
    <w:rsid w:val="00642589"/>
    <w:rsid w:val="006446A2"/>
    <w:rsid w:val="0064606D"/>
    <w:rsid w:val="00646CC2"/>
    <w:rsid w:val="00646F83"/>
    <w:rsid w:val="0064749F"/>
    <w:rsid w:val="00647CBD"/>
    <w:rsid w:val="0065365B"/>
    <w:rsid w:val="00654205"/>
    <w:rsid w:val="00661BEC"/>
    <w:rsid w:val="00661FE9"/>
    <w:rsid w:val="00663F61"/>
    <w:rsid w:val="0066474A"/>
    <w:rsid w:val="00670EEA"/>
    <w:rsid w:val="006760CC"/>
    <w:rsid w:val="00676455"/>
    <w:rsid w:val="006771AE"/>
    <w:rsid w:val="00677F90"/>
    <w:rsid w:val="00681D74"/>
    <w:rsid w:val="00682A34"/>
    <w:rsid w:val="00683A9D"/>
    <w:rsid w:val="006849AC"/>
    <w:rsid w:val="00686062"/>
    <w:rsid w:val="0068744C"/>
    <w:rsid w:val="0069010E"/>
    <w:rsid w:val="00693611"/>
    <w:rsid w:val="00693974"/>
    <w:rsid w:val="0069407D"/>
    <w:rsid w:val="00694DB3"/>
    <w:rsid w:val="006971A0"/>
    <w:rsid w:val="00697D85"/>
    <w:rsid w:val="00697FC0"/>
    <w:rsid w:val="006A3F53"/>
    <w:rsid w:val="006A781F"/>
    <w:rsid w:val="006A7A52"/>
    <w:rsid w:val="006B6CB9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819"/>
    <w:rsid w:val="006E6231"/>
    <w:rsid w:val="006E758A"/>
    <w:rsid w:val="006F0B22"/>
    <w:rsid w:val="006F0C90"/>
    <w:rsid w:val="006F10EF"/>
    <w:rsid w:val="006F3060"/>
    <w:rsid w:val="006F69F8"/>
    <w:rsid w:val="006F78A9"/>
    <w:rsid w:val="007021CC"/>
    <w:rsid w:val="007042F9"/>
    <w:rsid w:val="007070C3"/>
    <w:rsid w:val="007076E9"/>
    <w:rsid w:val="00710342"/>
    <w:rsid w:val="007113A5"/>
    <w:rsid w:val="00720871"/>
    <w:rsid w:val="00721FB8"/>
    <w:rsid w:val="00726298"/>
    <w:rsid w:val="007312C7"/>
    <w:rsid w:val="00740E03"/>
    <w:rsid w:val="007417BC"/>
    <w:rsid w:val="007457C3"/>
    <w:rsid w:val="007477E3"/>
    <w:rsid w:val="007479A0"/>
    <w:rsid w:val="00750E31"/>
    <w:rsid w:val="00750F7D"/>
    <w:rsid w:val="00752102"/>
    <w:rsid w:val="00753453"/>
    <w:rsid w:val="007545E5"/>
    <w:rsid w:val="0075705A"/>
    <w:rsid w:val="0076315B"/>
    <w:rsid w:val="00763C14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1E14"/>
    <w:rsid w:val="007A3737"/>
    <w:rsid w:val="007A4342"/>
    <w:rsid w:val="007A4755"/>
    <w:rsid w:val="007A57A2"/>
    <w:rsid w:val="007B0DAD"/>
    <w:rsid w:val="007B75DF"/>
    <w:rsid w:val="007B7D02"/>
    <w:rsid w:val="007C0ED7"/>
    <w:rsid w:val="007C2497"/>
    <w:rsid w:val="007C52AC"/>
    <w:rsid w:val="007C5B1E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80035C"/>
    <w:rsid w:val="00801FB8"/>
    <w:rsid w:val="00802F6E"/>
    <w:rsid w:val="008031BE"/>
    <w:rsid w:val="00805A72"/>
    <w:rsid w:val="008064CA"/>
    <w:rsid w:val="00807AF5"/>
    <w:rsid w:val="0081036E"/>
    <w:rsid w:val="0081086A"/>
    <w:rsid w:val="00810A53"/>
    <w:rsid w:val="008135AE"/>
    <w:rsid w:val="0081783D"/>
    <w:rsid w:val="00817BAC"/>
    <w:rsid w:val="008212FA"/>
    <w:rsid w:val="00822583"/>
    <w:rsid w:val="0082325C"/>
    <w:rsid w:val="00824651"/>
    <w:rsid w:val="008249F8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63B1"/>
    <w:rsid w:val="00846671"/>
    <w:rsid w:val="008516DD"/>
    <w:rsid w:val="0085338B"/>
    <w:rsid w:val="0085387D"/>
    <w:rsid w:val="00854223"/>
    <w:rsid w:val="0085445A"/>
    <w:rsid w:val="00854BF8"/>
    <w:rsid w:val="00855110"/>
    <w:rsid w:val="00857722"/>
    <w:rsid w:val="00857877"/>
    <w:rsid w:val="0086093B"/>
    <w:rsid w:val="0086119F"/>
    <w:rsid w:val="008613B0"/>
    <w:rsid w:val="00861664"/>
    <w:rsid w:val="00861842"/>
    <w:rsid w:val="008622D6"/>
    <w:rsid w:val="008644AD"/>
    <w:rsid w:val="00864A8B"/>
    <w:rsid w:val="008660B5"/>
    <w:rsid w:val="00866718"/>
    <w:rsid w:val="0087005A"/>
    <w:rsid w:val="0087137E"/>
    <w:rsid w:val="008719AE"/>
    <w:rsid w:val="00872A7F"/>
    <w:rsid w:val="00872FDD"/>
    <w:rsid w:val="00873152"/>
    <w:rsid w:val="008739CB"/>
    <w:rsid w:val="00874E1D"/>
    <w:rsid w:val="008777ED"/>
    <w:rsid w:val="008779E4"/>
    <w:rsid w:val="008800AC"/>
    <w:rsid w:val="0088060E"/>
    <w:rsid w:val="0088166B"/>
    <w:rsid w:val="00881E2B"/>
    <w:rsid w:val="00882E4F"/>
    <w:rsid w:val="00884704"/>
    <w:rsid w:val="008853B7"/>
    <w:rsid w:val="008857FD"/>
    <w:rsid w:val="00886F8C"/>
    <w:rsid w:val="00892723"/>
    <w:rsid w:val="0089328D"/>
    <w:rsid w:val="0089374D"/>
    <w:rsid w:val="00894342"/>
    <w:rsid w:val="00894410"/>
    <w:rsid w:val="00894CB7"/>
    <w:rsid w:val="00895258"/>
    <w:rsid w:val="00895DE5"/>
    <w:rsid w:val="00895FC9"/>
    <w:rsid w:val="008A28DA"/>
    <w:rsid w:val="008A2A8C"/>
    <w:rsid w:val="008A4C77"/>
    <w:rsid w:val="008A6AC7"/>
    <w:rsid w:val="008B0185"/>
    <w:rsid w:val="008B01FE"/>
    <w:rsid w:val="008B06C0"/>
    <w:rsid w:val="008B0A79"/>
    <w:rsid w:val="008B1EA5"/>
    <w:rsid w:val="008B24FC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4DBD"/>
    <w:rsid w:val="008C62BF"/>
    <w:rsid w:val="008C6566"/>
    <w:rsid w:val="008D0674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75DF"/>
    <w:rsid w:val="008F02FF"/>
    <w:rsid w:val="008F15C9"/>
    <w:rsid w:val="008F26E0"/>
    <w:rsid w:val="008F31A2"/>
    <w:rsid w:val="008F3C7D"/>
    <w:rsid w:val="008F4A6E"/>
    <w:rsid w:val="008F6B9E"/>
    <w:rsid w:val="008F7F9E"/>
    <w:rsid w:val="00900A0F"/>
    <w:rsid w:val="009016B6"/>
    <w:rsid w:val="00902984"/>
    <w:rsid w:val="00902AE1"/>
    <w:rsid w:val="00903039"/>
    <w:rsid w:val="00903771"/>
    <w:rsid w:val="009049A9"/>
    <w:rsid w:val="00907CB8"/>
    <w:rsid w:val="00907EDF"/>
    <w:rsid w:val="00910660"/>
    <w:rsid w:val="0091079A"/>
    <w:rsid w:val="00910807"/>
    <w:rsid w:val="00911FDB"/>
    <w:rsid w:val="0091295F"/>
    <w:rsid w:val="00916F14"/>
    <w:rsid w:val="0092388D"/>
    <w:rsid w:val="00924EFC"/>
    <w:rsid w:val="00925489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5997"/>
    <w:rsid w:val="009571B1"/>
    <w:rsid w:val="00957B4B"/>
    <w:rsid w:val="00961164"/>
    <w:rsid w:val="009617CA"/>
    <w:rsid w:val="00964D77"/>
    <w:rsid w:val="009670A4"/>
    <w:rsid w:val="0097176C"/>
    <w:rsid w:val="009741D0"/>
    <w:rsid w:val="00974441"/>
    <w:rsid w:val="009752C5"/>
    <w:rsid w:val="00980339"/>
    <w:rsid w:val="009811BD"/>
    <w:rsid w:val="00982C88"/>
    <w:rsid w:val="0098346E"/>
    <w:rsid w:val="00983A91"/>
    <w:rsid w:val="00986FCF"/>
    <w:rsid w:val="009902C2"/>
    <w:rsid w:val="00993C43"/>
    <w:rsid w:val="0099553A"/>
    <w:rsid w:val="00996577"/>
    <w:rsid w:val="009A002A"/>
    <w:rsid w:val="009A127F"/>
    <w:rsid w:val="009A1330"/>
    <w:rsid w:val="009B16DF"/>
    <w:rsid w:val="009B2E2E"/>
    <w:rsid w:val="009B3988"/>
    <w:rsid w:val="009B3CA2"/>
    <w:rsid w:val="009B41B1"/>
    <w:rsid w:val="009B4477"/>
    <w:rsid w:val="009B4A2C"/>
    <w:rsid w:val="009B6383"/>
    <w:rsid w:val="009B6F8C"/>
    <w:rsid w:val="009B7208"/>
    <w:rsid w:val="009B7C80"/>
    <w:rsid w:val="009C2CBA"/>
    <w:rsid w:val="009C48B9"/>
    <w:rsid w:val="009C6DF5"/>
    <w:rsid w:val="009C7469"/>
    <w:rsid w:val="009D115B"/>
    <w:rsid w:val="009D1645"/>
    <w:rsid w:val="009D33AC"/>
    <w:rsid w:val="009D4AFC"/>
    <w:rsid w:val="009D4D74"/>
    <w:rsid w:val="009E01F4"/>
    <w:rsid w:val="009E0284"/>
    <w:rsid w:val="009E27D0"/>
    <w:rsid w:val="009E3952"/>
    <w:rsid w:val="009E4E8B"/>
    <w:rsid w:val="009E4F57"/>
    <w:rsid w:val="009E50D4"/>
    <w:rsid w:val="009E540F"/>
    <w:rsid w:val="009E5792"/>
    <w:rsid w:val="009E690F"/>
    <w:rsid w:val="009E74F7"/>
    <w:rsid w:val="009F2322"/>
    <w:rsid w:val="009F27DE"/>
    <w:rsid w:val="009F2F9C"/>
    <w:rsid w:val="009F422B"/>
    <w:rsid w:val="009F5874"/>
    <w:rsid w:val="009F74BF"/>
    <w:rsid w:val="009F788D"/>
    <w:rsid w:val="009F78F5"/>
    <w:rsid w:val="009F7EFA"/>
    <w:rsid w:val="00A0095C"/>
    <w:rsid w:val="00A0345F"/>
    <w:rsid w:val="00A0390B"/>
    <w:rsid w:val="00A04280"/>
    <w:rsid w:val="00A0434E"/>
    <w:rsid w:val="00A0498B"/>
    <w:rsid w:val="00A0504D"/>
    <w:rsid w:val="00A05737"/>
    <w:rsid w:val="00A07008"/>
    <w:rsid w:val="00A07C43"/>
    <w:rsid w:val="00A10394"/>
    <w:rsid w:val="00A10E05"/>
    <w:rsid w:val="00A10EF3"/>
    <w:rsid w:val="00A11B6A"/>
    <w:rsid w:val="00A125B6"/>
    <w:rsid w:val="00A14C91"/>
    <w:rsid w:val="00A1553C"/>
    <w:rsid w:val="00A16A51"/>
    <w:rsid w:val="00A17BBA"/>
    <w:rsid w:val="00A20A3C"/>
    <w:rsid w:val="00A21056"/>
    <w:rsid w:val="00A215F1"/>
    <w:rsid w:val="00A21E49"/>
    <w:rsid w:val="00A220CD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44EB"/>
    <w:rsid w:val="00A4538B"/>
    <w:rsid w:val="00A46B0F"/>
    <w:rsid w:val="00A46D53"/>
    <w:rsid w:val="00A47EA5"/>
    <w:rsid w:val="00A51AF9"/>
    <w:rsid w:val="00A523F3"/>
    <w:rsid w:val="00A525FD"/>
    <w:rsid w:val="00A52836"/>
    <w:rsid w:val="00A52918"/>
    <w:rsid w:val="00A55D58"/>
    <w:rsid w:val="00A56227"/>
    <w:rsid w:val="00A56339"/>
    <w:rsid w:val="00A572DC"/>
    <w:rsid w:val="00A573AC"/>
    <w:rsid w:val="00A60701"/>
    <w:rsid w:val="00A60E46"/>
    <w:rsid w:val="00A60EED"/>
    <w:rsid w:val="00A62765"/>
    <w:rsid w:val="00A63320"/>
    <w:rsid w:val="00A656FD"/>
    <w:rsid w:val="00A6622C"/>
    <w:rsid w:val="00A66ED9"/>
    <w:rsid w:val="00A72066"/>
    <w:rsid w:val="00A73A93"/>
    <w:rsid w:val="00A747FD"/>
    <w:rsid w:val="00A7781A"/>
    <w:rsid w:val="00A801B2"/>
    <w:rsid w:val="00A80589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4317"/>
    <w:rsid w:val="00A9545A"/>
    <w:rsid w:val="00A959D6"/>
    <w:rsid w:val="00A95D4D"/>
    <w:rsid w:val="00A97AFA"/>
    <w:rsid w:val="00AA3974"/>
    <w:rsid w:val="00AA5778"/>
    <w:rsid w:val="00AA60AC"/>
    <w:rsid w:val="00AB181D"/>
    <w:rsid w:val="00AB30D7"/>
    <w:rsid w:val="00AB3BAA"/>
    <w:rsid w:val="00AB454E"/>
    <w:rsid w:val="00AB65CF"/>
    <w:rsid w:val="00AB65E6"/>
    <w:rsid w:val="00AC155A"/>
    <w:rsid w:val="00AC1A94"/>
    <w:rsid w:val="00AC33A9"/>
    <w:rsid w:val="00AC5E0B"/>
    <w:rsid w:val="00AC6759"/>
    <w:rsid w:val="00AC7452"/>
    <w:rsid w:val="00AD024E"/>
    <w:rsid w:val="00AD0626"/>
    <w:rsid w:val="00AD77BE"/>
    <w:rsid w:val="00AE2AE7"/>
    <w:rsid w:val="00AE2BA4"/>
    <w:rsid w:val="00AE2F93"/>
    <w:rsid w:val="00AE4AF8"/>
    <w:rsid w:val="00AE52C5"/>
    <w:rsid w:val="00AE5B3D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85B"/>
    <w:rsid w:val="00B21443"/>
    <w:rsid w:val="00B22C24"/>
    <w:rsid w:val="00B24E6E"/>
    <w:rsid w:val="00B27B74"/>
    <w:rsid w:val="00B30B61"/>
    <w:rsid w:val="00B31480"/>
    <w:rsid w:val="00B3260D"/>
    <w:rsid w:val="00B32DA1"/>
    <w:rsid w:val="00B34457"/>
    <w:rsid w:val="00B34D28"/>
    <w:rsid w:val="00B34EF2"/>
    <w:rsid w:val="00B37333"/>
    <w:rsid w:val="00B376AC"/>
    <w:rsid w:val="00B41611"/>
    <w:rsid w:val="00B41BD8"/>
    <w:rsid w:val="00B43525"/>
    <w:rsid w:val="00B446C0"/>
    <w:rsid w:val="00B457BA"/>
    <w:rsid w:val="00B46EE8"/>
    <w:rsid w:val="00B47217"/>
    <w:rsid w:val="00B475CA"/>
    <w:rsid w:val="00B47F5A"/>
    <w:rsid w:val="00B502F1"/>
    <w:rsid w:val="00B52358"/>
    <w:rsid w:val="00B53555"/>
    <w:rsid w:val="00B5408B"/>
    <w:rsid w:val="00B55AB1"/>
    <w:rsid w:val="00B56DCF"/>
    <w:rsid w:val="00B60296"/>
    <w:rsid w:val="00B61095"/>
    <w:rsid w:val="00B61900"/>
    <w:rsid w:val="00B62425"/>
    <w:rsid w:val="00B624E8"/>
    <w:rsid w:val="00B62F3D"/>
    <w:rsid w:val="00B6622A"/>
    <w:rsid w:val="00B66BFC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0F34"/>
    <w:rsid w:val="00B81D9E"/>
    <w:rsid w:val="00B82601"/>
    <w:rsid w:val="00B82BA9"/>
    <w:rsid w:val="00B83200"/>
    <w:rsid w:val="00B83464"/>
    <w:rsid w:val="00B839CD"/>
    <w:rsid w:val="00B8484F"/>
    <w:rsid w:val="00B9254C"/>
    <w:rsid w:val="00B93988"/>
    <w:rsid w:val="00B93B2F"/>
    <w:rsid w:val="00B9454E"/>
    <w:rsid w:val="00B94ADF"/>
    <w:rsid w:val="00B979BB"/>
    <w:rsid w:val="00BA1FA3"/>
    <w:rsid w:val="00BA3505"/>
    <w:rsid w:val="00BA45E5"/>
    <w:rsid w:val="00BA75BE"/>
    <w:rsid w:val="00BA78C3"/>
    <w:rsid w:val="00BB0D44"/>
    <w:rsid w:val="00BB1C8F"/>
    <w:rsid w:val="00BB2294"/>
    <w:rsid w:val="00BB4FB7"/>
    <w:rsid w:val="00BC05E1"/>
    <w:rsid w:val="00BC1449"/>
    <w:rsid w:val="00BC16A2"/>
    <w:rsid w:val="00BC1AAE"/>
    <w:rsid w:val="00BC1B1E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FAD"/>
    <w:rsid w:val="00BD749E"/>
    <w:rsid w:val="00BE028F"/>
    <w:rsid w:val="00BE1572"/>
    <w:rsid w:val="00BE28A7"/>
    <w:rsid w:val="00BE6A1E"/>
    <w:rsid w:val="00BE6ED3"/>
    <w:rsid w:val="00BE71E2"/>
    <w:rsid w:val="00BE72BB"/>
    <w:rsid w:val="00BE7741"/>
    <w:rsid w:val="00BF1F55"/>
    <w:rsid w:val="00BF218D"/>
    <w:rsid w:val="00BF3D50"/>
    <w:rsid w:val="00BF3E77"/>
    <w:rsid w:val="00BF3F52"/>
    <w:rsid w:val="00BF4831"/>
    <w:rsid w:val="00BF5336"/>
    <w:rsid w:val="00BF557B"/>
    <w:rsid w:val="00BF59D7"/>
    <w:rsid w:val="00C01741"/>
    <w:rsid w:val="00C023BA"/>
    <w:rsid w:val="00C03D5A"/>
    <w:rsid w:val="00C0478B"/>
    <w:rsid w:val="00C04D72"/>
    <w:rsid w:val="00C054CE"/>
    <w:rsid w:val="00C05740"/>
    <w:rsid w:val="00C07B1C"/>
    <w:rsid w:val="00C07E35"/>
    <w:rsid w:val="00C121E1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AAD"/>
    <w:rsid w:val="00C32FBA"/>
    <w:rsid w:val="00C333C3"/>
    <w:rsid w:val="00C33D65"/>
    <w:rsid w:val="00C349AD"/>
    <w:rsid w:val="00C34C76"/>
    <w:rsid w:val="00C3637C"/>
    <w:rsid w:val="00C3682D"/>
    <w:rsid w:val="00C42024"/>
    <w:rsid w:val="00C4499B"/>
    <w:rsid w:val="00C4689B"/>
    <w:rsid w:val="00C476D8"/>
    <w:rsid w:val="00C47D09"/>
    <w:rsid w:val="00C5028D"/>
    <w:rsid w:val="00C50CD3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486"/>
    <w:rsid w:val="00C6583C"/>
    <w:rsid w:val="00C65BAA"/>
    <w:rsid w:val="00C70AFF"/>
    <w:rsid w:val="00C713C8"/>
    <w:rsid w:val="00C731D5"/>
    <w:rsid w:val="00C73263"/>
    <w:rsid w:val="00C73855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A7"/>
    <w:rsid w:val="00C9182D"/>
    <w:rsid w:val="00C92E08"/>
    <w:rsid w:val="00C97009"/>
    <w:rsid w:val="00C97230"/>
    <w:rsid w:val="00C97DDE"/>
    <w:rsid w:val="00CA025C"/>
    <w:rsid w:val="00CA2A74"/>
    <w:rsid w:val="00CA6BDF"/>
    <w:rsid w:val="00CA73A9"/>
    <w:rsid w:val="00CA7F03"/>
    <w:rsid w:val="00CB082A"/>
    <w:rsid w:val="00CB0AA7"/>
    <w:rsid w:val="00CB43DF"/>
    <w:rsid w:val="00CB52AA"/>
    <w:rsid w:val="00CC223E"/>
    <w:rsid w:val="00CC36A4"/>
    <w:rsid w:val="00CC3913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5664"/>
    <w:rsid w:val="00CD6FCC"/>
    <w:rsid w:val="00CE0E38"/>
    <w:rsid w:val="00CE0E42"/>
    <w:rsid w:val="00CE103D"/>
    <w:rsid w:val="00CE41EA"/>
    <w:rsid w:val="00CF12A9"/>
    <w:rsid w:val="00CF159B"/>
    <w:rsid w:val="00CF3481"/>
    <w:rsid w:val="00CF6BA7"/>
    <w:rsid w:val="00CF7440"/>
    <w:rsid w:val="00D007AA"/>
    <w:rsid w:val="00D008E3"/>
    <w:rsid w:val="00D0137D"/>
    <w:rsid w:val="00D0484B"/>
    <w:rsid w:val="00D06632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72EB"/>
    <w:rsid w:val="00D173E6"/>
    <w:rsid w:val="00D204D5"/>
    <w:rsid w:val="00D30150"/>
    <w:rsid w:val="00D30732"/>
    <w:rsid w:val="00D31134"/>
    <w:rsid w:val="00D31897"/>
    <w:rsid w:val="00D31E95"/>
    <w:rsid w:val="00D32871"/>
    <w:rsid w:val="00D3320B"/>
    <w:rsid w:val="00D33540"/>
    <w:rsid w:val="00D34026"/>
    <w:rsid w:val="00D36BF5"/>
    <w:rsid w:val="00D373FE"/>
    <w:rsid w:val="00D37955"/>
    <w:rsid w:val="00D40A56"/>
    <w:rsid w:val="00D41585"/>
    <w:rsid w:val="00D43771"/>
    <w:rsid w:val="00D44B4D"/>
    <w:rsid w:val="00D46A51"/>
    <w:rsid w:val="00D50F6B"/>
    <w:rsid w:val="00D51588"/>
    <w:rsid w:val="00D51596"/>
    <w:rsid w:val="00D51D31"/>
    <w:rsid w:val="00D5484C"/>
    <w:rsid w:val="00D56A81"/>
    <w:rsid w:val="00D570C1"/>
    <w:rsid w:val="00D602D8"/>
    <w:rsid w:val="00D61F9B"/>
    <w:rsid w:val="00D641F6"/>
    <w:rsid w:val="00D65D2C"/>
    <w:rsid w:val="00D66F60"/>
    <w:rsid w:val="00D704F7"/>
    <w:rsid w:val="00D70925"/>
    <w:rsid w:val="00D74642"/>
    <w:rsid w:val="00D7550A"/>
    <w:rsid w:val="00D7698E"/>
    <w:rsid w:val="00D77A99"/>
    <w:rsid w:val="00D81A76"/>
    <w:rsid w:val="00D81D5E"/>
    <w:rsid w:val="00D8532F"/>
    <w:rsid w:val="00D856D8"/>
    <w:rsid w:val="00D8593D"/>
    <w:rsid w:val="00D85AE9"/>
    <w:rsid w:val="00D86151"/>
    <w:rsid w:val="00D87B80"/>
    <w:rsid w:val="00D920C8"/>
    <w:rsid w:val="00D925CB"/>
    <w:rsid w:val="00D9296C"/>
    <w:rsid w:val="00D93DEB"/>
    <w:rsid w:val="00D97527"/>
    <w:rsid w:val="00D97E01"/>
    <w:rsid w:val="00DA180A"/>
    <w:rsid w:val="00DA1E97"/>
    <w:rsid w:val="00DA4238"/>
    <w:rsid w:val="00DA7DBF"/>
    <w:rsid w:val="00DB2AE0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D01F4"/>
    <w:rsid w:val="00DD2964"/>
    <w:rsid w:val="00DD4C2A"/>
    <w:rsid w:val="00DD7D21"/>
    <w:rsid w:val="00DE18E0"/>
    <w:rsid w:val="00DE37C8"/>
    <w:rsid w:val="00DE4E89"/>
    <w:rsid w:val="00DE5189"/>
    <w:rsid w:val="00DE7821"/>
    <w:rsid w:val="00DF0132"/>
    <w:rsid w:val="00DF05FD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08F9"/>
    <w:rsid w:val="00E1280D"/>
    <w:rsid w:val="00E152AA"/>
    <w:rsid w:val="00E15AA0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7A37"/>
    <w:rsid w:val="00E32C02"/>
    <w:rsid w:val="00E331DF"/>
    <w:rsid w:val="00E337B1"/>
    <w:rsid w:val="00E34642"/>
    <w:rsid w:val="00E3605F"/>
    <w:rsid w:val="00E37755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608AE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6F0"/>
    <w:rsid w:val="00E87207"/>
    <w:rsid w:val="00E879D4"/>
    <w:rsid w:val="00E90FB5"/>
    <w:rsid w:val="00E91F93"/>
    <w:rsid w:val="00E94CC9"/>
    <w:rsid w:val="00E955C5"/>
    <w:rsid w:val="00E96AC2"/>
    <w:rsid w:val="00E97D86"/>
    <w:rsid w:val="00EA390A"/>
    <w:rsid w:val="00EA3F94"/>
    <w:rsid w:val="00EA416E"/>
    <w:rsid w:val="00EA41CD"/>
    <w:rsid w:val="00EA5639"/>
    <w:rsid w:val="00EA6631"/>
    <w:rsid w:val="00EA672E"/>
    <w:rsid w:val="00EA6789"/>
    <w:rsid w:val="00EA6E60"/>
    <w:rsid w:val="00EA710E"/>
    <w:rsid w:val="00EA75AA"/>
    <w:rsid w:val="00EA7A85"/>
    <w:rsid w:val="00EA7EB1"/>
    <w:rsid w:val="00EA7F80"/>
    <w:rsid w:val="00EB26BC"/>
    <w:rsid w:val="00EB38B4"/>
    <w:rsid w:val="00EB5141"/>
    <w:rsid w:val="00EB5AB8"/>
    <w:rsid w:val="00EB6741"/>
    <w:rsid w:val="00EB702F"/>
    <w:rsid w:val="00EB7FC3"/>
    <w:rsid w:val="00EC2CE6"/>
    <w:rsid w:val="00EC4B25"/>
    <w:rsid w:val="00EC5A64"/>
    <w:rsid w:val="00EC686E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928"/>
    <w:rsid w:val="00EF359F"/>
    <w:rsid w:val="00EF3627"/>
    <w:rsid w:val="00EF7657"/>
    <w:rsid w:val="00F00DCF"/>
    <w:rsid w:val="00F013C3"/>
    <w:rsid w:val="00F04F13"/>
    <w:rsid w:val="00F04F9E"/>
    <w:rsid w:val="00F05B35"/>
    <w:rsid w:val="00F061BB"/>
    <w:rsid w:val="00F072BA"/>
    <w:rsid w:val="00F11036"/>
    <w:rsid w:val="00F11963"/>
    <w:rsid w:val="00F12BB0"/>
    <w:rsid w:val="00F12C42"/>
    <w:rsid w:val="00F15E2B"/>
    <w:rsid w:val="00F161F3"/>
    <w:rsid w:val="00F21601"/>
    <w:rsid w:val="00F21996"/>
    <w:rsid w:val="00F22611"/>
    <w:rsid w:val="00F256CC"/>
    <w:rsid w:val="00F26323"/>
    <w:rsid w:val="00F26BB5"/>
    <w:rsid w:val="00F33262"/>
    <w:rsid w:val="00F3745E"/>
    <w:rsid w:val="00F408DA"/>
    <w:rsid w:val="00F46667"/>
    <w:rsid w:val="00F46E68"/>
    <w:rsid w:val="00F46F41"/>
    <w:rsid w:val="00F46F5A"/>
    <w:rsid w:val="00F50AA4"/>
    <w:rsid w:val="00F51B91"/>
    <w:rsid w:val="00F53A2A"/>
    <w:rsid w:val="00F575B9"/>
    <w:rsid w:val="00F61CFD"/>
    <w:rsid w:val="00F6227E"/>
    <w:rsid w:val="00F64028"/>
    <w:rsid w:val="00F64CAA"/>
    <w:rsid w:val="00F675E8"/>
    <w:rsid w:val="00F67970"/>
    <w:rsid w:val="00F71799"/>
    <w:rsid w:val="00F75F66"/>
    <w:rsid w:val="00F81CA3"/>
    <w:rsid w:val="00F8222F"/>
    <w:rsid w:val="00F829D5"/>
    <w:rsid w:val="00F83E02"/>
    <w:rsid w:val="00F848B8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96DD7"/>
    <w:rsid w:val="00FA0065"/>
    <w:rsid w:val="00FA04A8"/>
    <w:rsid w:val="00FA1A69"/>
    <w:rsid w:val="00FA1B7A"/>
    <w:rsid w:val="00FA1DA4"/>
    <w:rsid w:val="00FA298B"/>
    <w:rsid w:val="00FA5651"/>
    <w:rsid w:val="00FA6FCD"/>
    <w:rsid w:val="00FA7F94"/>
    <w:rsid w:val="00FB0466"/>
    <w:rsid w:val="00FB0A52"/>
    <w:rsid w:val="00FB1E65"/>
    <w:rsid w:val="00FB5240"/>
    <w:rsid w:val="00FB6078"/>
    <w:rsid w:val="00FB6429"/>
    <w:rsid w:val="00FB74CC"/>
    <w:rsid w:val="00FB7836"/>
    <w:rsid w:val="00FB7EB3"/>
    <w:rsid w:val="00FC0628"/>
    <w:rsid w:val="00FC1EB3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D65E3"/>
    <w:rsid w:val="00FE12A0"/>
    <w:rsid w:val="00FE3769"/>
    <w:rsid w:val="00FE429A"/>
    <w:rsid w:val="00FE4E2A"/>
    <w:rsid w:val="00FE65C6"/>
    <w:rsid w:val="00FE6E45"/>
    <w:rsid w:val="00FE7C64"/>
    <w:rsid w:val="00FF057D"/>
    <w:rsid w:val="00FF1FF4"/>
    <w:rsid w:val="00FF2F9F"/>
    <w:rsid w:val="00FF448D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37C15-C761-4CF8-A480-61945D6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6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a.gov.au/chart-pack/share-marke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nguardinvestments.com.au/retail/ret/campaign/indexchart2019.j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91FE-5DEE-40D6-BDCB-74182927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7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 Woodward</cp:lastModifiedBy>
  <cp:revision>163</cp:revision>
  <cp:lastPrinted>2016-02-20T15:30:00Z</cp:lastPrinted>
  <dcterms:created xsi:type="dcterms:W3CDTF">2012-03-19T13:27:00Z</dcterms:created>
  <dcterms:modified xsi:type="dcterms:W3CDTF">2021-04-21T12:16:00Z</dcterms:modified>
</cp:coreProperties>
</file>